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6A4FEA4" w14:textId="77777777" w:rsidR="000917AC" w:rsidRDefault="000917A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Izmjena i dopuna Strateškog plana razvoja turizma za područje Općine Brtonigla-Verteneglio </w:t>
            </w:r>
          </w:p>
          <w:p w14:paraId="25F55CBD" w14:textId="3B91E25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7E67511A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C15D14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</w:t>
            </w:r>
            <w:r w:rsidR="008B23F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7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0917A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03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</w:t>
            </w:r>
            <w:r w:rsidR="00D0467E"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0917A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352183D4" w:rsidR="005B0986" w:rsidRPr="00380E25" w:rsidRDefault="000917A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>Izmjen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i dopun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Strateškog plana razvoja turizma za područje Općine Brtonigla-Verteneglio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19B8FAEA" w14:textId="77777777" w:rsidR="000917AC" w:rsidRPr="000917AC" w:rsidRDefault="000917AC" w:rsidP="000917A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>Općinsko vijeće Općine Brtonigla-Verteneglio je na svojoj 25. sjednici održanoj dana 20.11.2020. godine donijelo Odluku o usvajanju Strateškog plana razvoja turizma za područje Općine Brtonigla-Verteneglio.</w:t>
            </w:r>
          </w:p>
          <w:p w14:paraId="687E99DA" w14:textId="77777777" w:rsidR="000917AC" w:rsidRPr="000917AC" w:rsidRDefault="000917AC" w:rsidP="000917A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Dana 10.01.2022. godine zaprimljena je Informacija Ministarstva turizma i sporta o stupanju na snagu novog Pravilnika o javnoj turističkoj infrastrukturi (Narodne novine broj 136/21 od 10. prosinca 2021. godine), koji definira javnu turističku infrastrukturu kao primarnu i sekundarnu, dok članak 3. stavak 5. Pravilnika daje mogućnost jedinicama lokalne ili područne (regionalne) samouprave da svojim aktom strateškog planiranja mogu odrediti i drugu infrastrukturu kao javnu turističku infrastrukturu od svog strateškog interesa. U cilju bolje pripreme turističkih razvojnih projekata za prijave na javne pozive za njihovo sufinanciranje iz nacionalnih i sredstava EU, preporuka je Ministarstva turizma i sporta da se provjeri usklađenost važećih akata strateškog planiranja područne (regionalne) ili lokalne razine s novim Pravilnikom i ukoliko je to potrebno, da se pristupi izmjeni i/ili dopuni istog. </w:t>
            </w:r>
          </w:p>
          <w:p w14:paraId="6B36DD50" w14:textId="4A30CD83" w:rsidR="000917AC" w:rsidRPr="000917AC" w:rsidRDefault="000917AC" w:rsidP="000917A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>Nakon analize planiranih projekata, sadržaja donesenog Pravilnika i sadržaja strateških dokumenata Općine Brtonigla-Verteneglio, utvrđeno je kako bi unutar Strateškog plana razvoja turizma trebalo uvrstiti još dvije vrste projekata, budući će to biti uvjet za prijavu tih projekata na EU i na nacionalne javne pozive.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>Konkretnije, radi se o projektu uređenja postojeće Galerije Aleksandra Rukavine i rekonstrukcija/sanacija sakralnih objekata na području Općine.</w:t>
            </w:r>
          </w:p>
          <w:p w14:paraId="3FE5B756" w14:textId="32D52526" w:rsidR="005B0986" w:rsidRPr="00380E25" w:rsidRDefault="000917AC" w:rsidP="000917A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917AC">
              <w:rPr>
                <w:rFonts w:ascii="Arial Narrow" w:hAnsi="Arial Narrow" w:cs="Times New Roman"/>
                <w:bCs/>
                <w:sz w:val="20"/>
                <w:szCs w:val="20"/>
              </w:rPr>
              <w:t>Navedeni su projekti sadržani i u provedbenom programu Općine Brtonigla – Verteneglio za razdoblje 2021.-2025.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734D5F34" w:rsidR="005B0986" w:rsidRPr="00380E25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8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siječnja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8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veljače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0917AC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lastRenderedPageBreak/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5AA147B2" w14:textId="16B8C166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0917A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334-01/22-10/01</w:t>
      </w:r>
    </w:p>
    <w:p w14:paraId="784865BB" w14:textId="683AF027" w:rsidR="00FF2409" w:rsidRPr="008B23F7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0917AC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</w:t>
      </w:r>
      <w:r w:rsidR="000917AC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13-04/03-22-</w:t>
      </w:r>
      <w:r w:rsidR="008B23F7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</w:p>
    <w:p w14:paraId="0C73B09F" w14:textId="6D8B5B82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Brtonigla-Verteneglio,</w:t>
      </w:r>
      <w:r w:rsidR="00C15D14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0</w:t>
      </w:r>
      <w:r w:rsidR="008B23F7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7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0917AC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ožujka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</w:t>
      </w:r>
      <w:r w:rsidR="00D0467E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0917AC"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Pr="008B23F7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917AC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23F7"/>
    <w:rsid w:val="008B5DD3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11</cp:revision>
  <cp:lastPrinted>2019-12-02T12:56:00Z</cp:lastPrinted>
  <dcterms:created xsi:type="dcterms:W3CDTF">2019-12-02T12:47:00Z</dcterms:created>
  <dcterms:modified xsi:type="dcterms:W3CDTF">2022-03-07T11:17:00Z</dcterms:modified>
</cp:coreProperties>
</file>