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5692E" w14:textId="10D9CF14" w:rsidR="00E02AF0" w:rsidRPr="008674CC" w:rsidRDefault="008674CC" w:rsidP="008674CC">
      <w:pPr>
        <w:pStyle w:val="NormalWeb"/>
        <w:jc w:val="center"/>
        <w:rPr>
          <w:rStyle w:val="whitespace-normal"/>
          <w:rFonts w:eastAsiaTheme="majorEastAsia"/>
          <w:b/>
          <w:bCs/>
        </w:rPr>
      </w:pPr>
      <w:r w:rsidRPr="008674CC">
        <w:rPr>
          <w:rStyle w:val="whitespace-normal"/>
          <w:rFonts w:eastAsiaTheme="majorEastAsia"/>
          <w:b/>
          <w:bCs/>
        </w:rPr>
        <w:t xml:space="preserve">OBRAZLOŽENJE </w:t>
      </w:r>
      <w:r w:rsidR="00E02AF0" w:rsidRPr="008674CC">
        <w:rPr>
          <w:rStyle w:val="whitespace-normal"/>
          <w:rFonts w:eastAsiaTheme="majorEastAsia"/>
          <w:b/>
          <w:bCs/>
        </w:rPr>
        <w:t>IZMJENA CJENE MINIMALNE JAVNE USLUGE SAKUPLJANJA KOMUNALNOG OTPADA</w:t>
      </w:r>
    </w:p>
    <w:p w14:paraId="27620EB7" w14:textId="77777777" w:rsidR="008674CC" w:rsidRDefault="008674CC" w:rsidP="009A7547">
      <w:pPr>
        <w:pStyle w:val="NormalWeb"/>
        <w:rPr>
          <w:rStyle w:val="whitespace-normal"/>
          <w:rFonts w:eastAsiaTheme="majorEastAsia"/>
        </w:rPr>
      </w:pPr>
    </w:p>
    <w:p w14:paraId="7A51E9B2" w14:textId="2AE2869C" w:rsidR="0066386C" w:rsidRPr="0066386C" w:rsidRDefault="0066386C" w:rsidP="0066386C">
      <w:pPr>
        <w:pStyle w:val="NormalWeb"/>
        <w:jc w:val="both"/>
        <w:rPr>
          <w:rStyle w:val="whitespace-normal"/>
          <w:rFonts w:eastAsiaTheme="majorEastAsia"/>
        </w:rPr>
      </w:pPr>
      <w:r w:rsidRPr="0066386C">
        <w:rPr>
          <w:rStyle w:val="whitespace-normal"/>
          <w:rFonts w:eastAsiaTheme="majorEastAsia"/>
        </w:rPr>
        <w:t>Zakon o gospodarenju otpadom („Narodne novine“, br. 84/21 i 142/23) uređuje sustav gospodarenja otpadom u Republici Hrvatskoj.</w:t>
      </w:r>
    </w:p>
    <w:p w14:paraId="37F2D21F" w14:textId="4F52E151" w:rsidR="0066386C" w:rsidRPr="0066386C" w:rsidRDefault="0066386C" w:rsidP="0066386C">
      <w:pPr>
        <w:pStyle w:val="NormalWeb"/>
        <w:jc w:val="both"/>
        <w:rPr>
          <w:rStyle w:val="whitespace-normal"/>
          <w:rFonts w:eastAsiaTheme="majorEastAsia"/>
        </w:rPr>
      </w:pPr>
      <w:r w:rsidRPr="0066386C">
        <w:rPr>
          <w:rStyle w:val="whitespace-normal"/>
          <w:rFonts w:eastAsiaTheme="majorEastAsia"/>
        </w:rPr>
        <w:t>Sustav gospodarenja komunalnim otpadom usmjeren je na osiguravanje dostupnosti javne usluge sakupljanja otpada te na poticanje proizvođača i posjednika otpada na njegovo odvojeno prikupljanje. Cilj je smanjiti količinu miješanog komunalnog otpada i udio biootpada u njemu, povećati stope odvojenog prikupljanja i recikliranja (papira, kartona, stakla, metala, plastike, biootpada, drva, tekstila, ambalaže, električne i elektroničke opreme, baterija, akumulatora i glomaznog otpada, uključujući madrace i namještaj) te smanjiti količinu otpada koji se odlaže.</w:t>
      </w:r>
    </w:p>
    <w:p w14:paraId="683EEFE7" w14:textId="472CF426" w:rsidR="0066386C" w:rsidRPr="0066386C" w:rsidRDefault="0066386C" w:rsidP="0066386C">
      <w:pPr>
        <w:pStyle w:val="NormalWeb"/>
        <w:jc w:val="both"/>
        <w:rPr>
          <w:rStyle w:val="whitespace-normal"/>
          <w:rFonts w:eastAsiaTheme="majorEastAsia"/>
        </w:rPr>
      </w:pPr>
      <w:r w:rsidRPr="0066386C">
        <w:rPr>
          <w:rStyle w:val="whitespace-normal"/>
          <w:rFonts w:eastAsiaTheme="majorEastAsia"/>
        </w:rPr>
        <w:t xml:space="preserve">Na području </w:t>
      </w:r>
      <w:r w:rsidR="0009542D" w:rsidRPr="00186FE6">
        <w:rPr>
          <w:rStyle w:val="whitespace-normal"/>
          <w:rFonts w:eastAsiaTheme="majorEastAsia"/>
        </w:rPr>
        <w:t>Općine Brtonigla</w:t>
      </w:r>
      <w:r w:rsidRPr="0066386C">
        <w:rPr>
          <w:rStyle w:val="whitespace-normal"/>
          <w:rFonts w:eastAsiaTheme="majorEastAsia"/>
        </w:rPr>
        <w:t xml:space="preserve"> javnu uslugu sakupljanja komunalnog otpada pruža trgovačko društvo 6. MAJ d.o.o. (u daljnjem tekstu: 6. MAJ d.o.o.).</w:t>
      </w:r>
    </w:p>
    <w:p w14:paraId="51865B17" w14:textId="77777777" w:rsidR="0066386C" w:rsidRPr="0066386C" w:rsidRDefault="0066386C" w:rsidP="0066386C">
      <w:pPr>
        <w:pStyle w:val="NormalWeb"/>
        <w:jc w:val="both"/>
        <w:rPr>
          <w:rStyle w:val="whitespace-normal"/>
          <w:rFonts w:eastAsiaTheme="majorEastAsia"/>
        </w:rPr>
      </w:pPr>
      <w:r w:rsidRPr="0066386C">
        <w:rPr>
          <w:rStyle w:val="whitespace-normal"/>
          <w:rFonts w:eastAsiaTheme="majorEastAsia"/>
        </w:rPr>
        <w:t>Sukladno članku 75. Zakona, cijena javne usluge utvrđuje se radi pokrića troškova njezina pružanja, a sastoji se od dvije komponente:</w:t>
      </w:r>
    </w:p>
    <w:p w14:paraId="2A6169F5" w14:textId="77777777" w:rsidR="0066386C" w:rsidRPr="0066386C" w:rsidRDefault="0066386C" w:rsidP="0066386C">
      <w:pPr>
        <w:pStyle w:val="NormalWeb"/>
        <w:rPr>
          <w:rStyle w:val="whitespace-normal"/>
          <w:rFonts w:eastAsiaTheme="majorEastAsia"/>
        </w:rPr>
      </w:pPr>
      <w:r w:rsidRPr="0066386C">
        <w:rPr>
          <w:rStyle w:val="whitespace-normal"/>
          <w:rFonts w:eastAsiaTheme="majorEastAsia"/>
        </w:rPr>
        <w:t>• cijene za količinu predanog miješanog komunalnog otpada (varijabilni dio – C)</w:t>
      </w:r>
    </w:p>
    <w:p w14:paraId="5D168D97" w14:textId="01EB1D3B" w:rsidR="0066386C" w:rsidRPr="0066386C" w:rsidRDefault="0066386C" w:rsidP="0066386C">
      <w:pPr>
        <w:pStyle w:val="NormalWeb"/>
        <w:rPr>
          <w:rStyle w:val="whitespace-normal"/>
          <w:rFonts w:eastAsiaTheme="majorEastAsia"/>
        </w:rPr>
      </w:pPr>
      <w:r w:rsidRPr="0066386C">
        <w:rPr>
          <w:rStyle w:val="whitespace-normal"/>
          <w:rFonts w:eastAsiaTheme="majorEastAsia"/>
        </w:rPr>
        <w:t>• cijene obvezne minimalne javne usluge (fiksni dio – CMJU).</w:t>
      </w:r>
    </w:p>
    <w:p w14:paraId="2E8C5BF4" w14:textId="33CD0AB2" w:rsidR="0066386C" w:rsidRPr="0066386C" w:rsidRDefault="0066386C" w:rsidP="0066386C">
      <w:pPr>
        <w:pStyle w:val="NormalWeb"/>
        <w:jc w:val="both"/>
        <w:rPr>
          <w:rStyle w:val="whitespace-normal"/>
          <w:rFonts w:eastAsiaTheme="majorEastAsia"/>
        </w:rPr>
      </w:pPr>
      <w:r w:rsidRPr="0066386C">
        <w:rPr>
          <w:rStyle w:val="whitespace-normal"/>
          <w:rFonts w:eastAsiaTheme="majorEastAsia"/>
        </w:rPr>
        <w:t>Varijabilni dio ovisi o količini predanog miješanog komunalnog otpada i određuje se cjenikom davatelja usluge, koji se donosi uz prethodno javno savjetovanje u trajanju od najmanje 30 dana te uz suglasnost izvršnog tijela jedinice lokalne samouprave. Ovaj dio cijene ne obračunava se za odvojeno prikupljeni reciklabilni otpad, čime se korisnike potiče na razvrstavanje otpada. Manja količina miješanog otpada izravno znači i niži račun.</w:t>
      </w:r>
    </w:p>
    <w:p w14:paraId="5FF80EF6" w14:textId="5C201339" w:rsidR="0066386C" w:rsidRPr="0066386C" w:rsidRDefault="0066386C" w:rsidP="0066386C">
      <w:pPr>
        <w:pStyle w:val="NormalWeb"/>
        <w:jc w:val="both"/>
        <w:rPr>
          <w:rStyle w:val="whitespace-normal"/>
          <w:rFonts w:eastAsiaTheme="majorEastAsia"/>
        </w:rPr>
      </w:pPr>
      <w:r w:rsidRPr="0066386C">
        <w:rPr>
          <w:rStyle w:val="whitespace-normal"/>
          <w:rFonts w:eastAsiaTheme="majorEastAsia"/>
        </w:rPr>
        <w:t>Obvezna minimalna javna usluga (CMJU) predstavlja fiksni dio cijene i osigurava sredstva potrebna za ekonomski održivo poslovanje te sigurnost, redovitost i kvalitetu pružanja usluge. Na području jedne jedinice lokalne samouprave primjenjuje se jedinstvena cijena CMJU za kućanstva te jedinstvena cijena za korisnike koji nisu kućanstva. Cijena CMJU utvrđuje se Odlukom o načinu pružanja javne usluge koju donosi predstavničko tijelo jedinice lokalne samouprave.</w:t>
      </w:r>
    </w:p>
    <w:p w14:paraId="4A62D719" w14:textId="77777777" w:rsidR="0066386C" w:rsidRPr="0066386C" w:rsidRDefault="0066386C" w:rsidP="0066386C">
      <w:pPr>
        <w:pStyle w:val="NormalWeb"/>
        <w:jc w:val="both"/>
        <w:rPr>
          <w:rStyle w:val="whitespace-normal"/>
          <w:rFonts w:eastAsiaTheme="majorEastAsia"/>
        </w:rPr>
      </w:pPr>
      <w:r w:rsidRPr="0066386C">
        <w:rPr>
          <w:rStyle w:val="whitespace-normal"/>
          <w:rFonts w:eastAsiaTheme="majorEastAsia"/>
        </w:rPr>
        <w:t>Iz svega navedenog proizlazi da je svrha cijene javne usluge pokriće stvarnih troškova sustava, dok CMJU, kao njezin fiksni dio, osigurava stabilnost, održivost i kvalitetno funkcioniranje sustava sakupljanja komunalnog otpada.</w:t>
      </w:r>
    </w:p>
    <w:p w14:paraId="4CE2AADB" w14:textId="77777777" w:rsidR="0066386C" w:rsidRPr="0066386C" w:rsidRDefault="0066386C" w:rsidP="0066386C">
      <w:pPr>
        <w:pStyle w:val="NormalWeb"/>
        <w:rPr>
          <w:rStyle w:val="whitespace-normal"/>
          <w:rFonts w:eastAsiaTheme="majorEastAsia"/>
        </w:rPr>
      </w:pPr>
    </w:p>
    <w:p w14:paraId="538F9682" w14:textId="77777777" w:rsidR="0066386C" w:rsidRDefault="0066386C" w:rsidP="0066386C">
      <w:pPr>
        <w:pStyle w:val="NormalWeb"/>
        <w:rPr>
          <w:rStyle w:val="whitespace-normal"/>
          <w:rFonts w:eastAsiaTheme="majorEastAsia"/>
          <w:b/>
          <w:bCs/>
        </w:rPr>
      </w:pPr>
    </w:p>
    <w:p w14:paraId="49968878" w14:textId="77777777" w:rsidR="0066386C" w:rsidRDefault="0066386C" w:rsidP="0066386C">
      <w:pPr>
        <w:pStyle w:val="NormalWeb"/>
        <w:rPr>
          <w:rStyle w:val="whitespace-normal"/>
          <w:rFonts w:eastAsiaTheme="majorEastAsia"/>
          <w:b/>
          <w:bCs/>
        </w:rPr>
      </w:pPr>
    </w:p>
    <w:p w14:paraId="6A81DD41" w14:textId="77777777" w:rsidR="0066386C" w:rsidRDefault="0066386C" w:rsidP="0066386C">
      <w:pPr>
        <w:pStyle w:val="NormalWeb"/>
        <w:rPr>
          <w:rStyle w:val="whitespace-normal"/>
          <w:rFonts w:eastAsiaTheme="majorEastAsia"/>
          <w:b/>
          <w:bCs/>
        </w:rPr>
      </w:pPr>
    </w:p>
    <w:p w14:paraId="4C750066" w14:textId="1311E83F" w:rsidR="0066386C" w:rsidRPr="0066386C" w:rsidRDefault="0066386C" w:rsidP="0066386C">
      <w:pPr>
        <w:pStyle w:val="NormalWeb"/>
        <w:rPr>
          <w:rStyle w:val="whitespace-normal"/>
          <w:rFonts w:eastAsiaTheme="majorEastAsia"/>
          <w:b/>
          <w:bCs/>
        </w:rPr>
      </w:pPr>
      <w:r w:rsidRPr="0066386C">
        <w:rPr>
          <w:rStyle w:val="whitespace-normal"/>
          <w:rFonts w:eastAsiaTheme="majorEastAsia"/>
          <w:b/>
          <w:bCs/>
        </w:rPr>
        <w:lastRenderedPageBreak/>
        <w:t>Razlozi predlaganja Nacrta Odluke</w:t>
      </w:r>
    </w:p>
    <w:p w14:paraId="0D475ABA" w14:textId="282F3966" w:rsidR="0066386C" w:rsidRPr="0066386C" w:rsidRDefault="0066386C" w:rsidP="0066386C">
      <w:pPr>
        <w:pStyle w:val="NormalWeb"/>
        <w:jc w:val="both"/>
        <w:rPr>
          <w:rStyle w:val="whitespace-normal"/>
          <w:rFonts w:eastAsiaTheme="majorEastAsia"/>
        </w:rPr>
      </w:pPr>
      <w:r w:rsidRPr="00186FE6">
        <w:rPr>
          <w:rStyle w:val="whitespace-normal"/>
          <w:rFonts w:eastAsiaTheme="majorEastAsia"/>
        </w:rPr>
        <w:t xml:space="preserve">Trenutačna cijena obvezne minimalne javne usluge (CMJU) određena je </w:t>
      </w:r>
      <w:r w:rsidR="00E048CA" w:rsidRPr="00186FE6">
        <w:rPr>
          <w:rStyle w:val="whitespace-normal"/>
          <w:rFonts w:eastAsiaTheme="majorEastAsia"/>
        </w:rPr>
        <w:t xml:space="preserve">odredbama stavka 1. i 2. </w:t>
      </w:r>
      <w:r w:rsidRPr="00186FE6">
        <w:rPr>
          <w:rStyle w:val="whitespace-normal"/>
          <w:rFonts w:eastAsiaTheme="majorEastAsia"/>
        </w:rPr>
        <w:t>člank</w:t>
      </w:r>
      <w:r w:rsidR="00E048CA" w:rsidRPr="00186FE6">
        <w:rPr>
          <w:rStyle w:val="whitespace-normal"/>
          <w:rFonts w:eastAsiaTheme="majorEastAsia"/>
        </w:rPr>
        <w:t>a</w:t>
      </w:r>
      <w:r w:rsidRPr="00186FE6">
        <w:rPr>
          <w:rStyle w:val="whitespace-normal"/>
          <w:rFonts w:eastAsiaTheme="majorEastAsia"/>
        </w:rPr>
        <w:t xml:space="preserve"> </w:t>
      </w:r>
      <w:r w:rsidR="00E048CA" w:rsidRPr="00186FE6">
        <w:rPr>
          <w:rStyle w:val="whitespace-normal"/>
          <w:rFonts w:eastAsiaTheme="majorEastAsia"/>
        </w:rPr>
        <w:t>19</w:t>
      </w:r>
      <w:r w:rsidRPr="00186FE6">
        <w:rPr>
          <w:rStyle w:val="whitespace-normal"/>
          <w:rFonts w:eastAsiaTheme="majorEastAsia"/>
        </w:rPr>
        <w:t xml:space="preserve">. Odluke o načinu pružanja javne usluge sakupljanja komunalnog otpada na području </w:t>
      </w:r>
      <w:bookmarkStart w:id="0" w:name="_Hlk225409555"/>
      <w:r w:rsidR="0009542D" w:rsidRPr="00186FE6">
        <w:rPr>
          <w:rStyle w:val="whitespace-normal"/>
          <w:rFonts w:eastAsiaTheme="majorEastAsia"/>
        </w:rPr>
        <w:t>Općine Brtonigla - Verteneglio</w:t>
      </w:r>
      <w:r w:rsidRPr="00186FE6">
        <w:rPr>
          <w:rStyle w:val="whitespace-normal"/>
          <w:rFonts w:eastAsiaTheme="majorEastAsia"/>
        </w:rPr>
        <w:t xml:space="preserve"> </w:t>
      </w:r>
      <w:bookmarkEnd w:id="0"/>
      <w:r w:rsidRPr="00186FE6">
        <w:rPr>
          <w:rStyle w:val="whitespace-normal"/>
          <w:rFonts w:eastAsiaTheme="majorEastAsia"/>
        </w:rPr>
        <w:t xml:space="preserve">(„Službene novine </w:t>
      </w:r>
      <w:r w:rsidR="0009542D" w:rsidRPr="00186FE6">
        <w:rPr>
          <w:rStyle w:val="whitespace-normal"/>
          <w:rFonts w:eastAsiaTheme="majorEastAsia"/>
        </w:rPr>
        <w:t>Općine Brtonigla - Verteneglio</w:t>
      </w:r>
      <w:r w:rsidRPr="00186FE6">
        <w:rPr>
          <w:rStyle w:val="whitespace-normal"/>
          <w:rFonts w:eastAsiaTheme="majorEastAsia"/>
        </w:rPr>
        <w:t xml:space="preserve">“, br. </w:t>
      </w:r>
      <w:r w:rsidR="0009542D" w:rsidRPr="00186FE6">
        <w:rPr>
          <w:rStyle w:val="whitespace-normal"/>
          <w:rFonts w:eastAsiaTheme="majorEastAsia"/>
        </w:rPr>
        <w:t>3</w:t>
      </w:r>
      <w:r w:rsidR="00E048CA" w:rsidRPr="00186FE6">
        <w:rPr>
          <w:rStyle w:val="whitespace-normal"/>
          <w:rFonts w:eastAsiaTheme="majorEastAsia"/>
        </w:rPr>
        <w:t>/2022</w:t>
      </w:r>
      <w:r w:rsidRPr="00186FE6">
        <w:rPr>
          <w:rStyle w:val="whitespace-normal"/>
          <w:rFonts w:eastAsiaTheme="majorEastAsia"/>
        </w:rPr>
        <w:t xml:space="preserve">; u daljnjem tekstu: Odluka). Navedenu Odluku donijelo je </w:t>
      </w:r>
      <w:r w:rsidR="00111B4E" w:rsidRPr="00186FE6">
        <w:rPr>
          <w:rStyle w:val="whitespace-normal"/>
          <w:rFonts w:eastAsiaTheme="majorEastAsia"/>
        </w:rPr>
        <w:t>Općinsko</w:t>
      </w:r>
      <w:r w:rsidRPr="00186FE6">
        <w:rPr>
          <w:rStyle w:val="whitespace-normal"/>
          <w:rFonts w:eastAsiaTheme="majorEastAsia"/>
        </w:rPr>
        <w:t xml:space="preserve"> vijeće </w:t>
      </w:r>
      <w:r w:rsidR="0009542D" w:rsidRPr="00186FE6">
        <w:rPr>
          <w:rStyle w:val="whitespace-normal"/>
          <w:rFonts w:eastAsiaTheme="majorEastAsia"/>
        </w:rPr>
        <w:t>Općine Brtonigla - Verteneglio</w:t>
      </w:r>
      <w:r w:rsidRPr="00186FE6">
        <w:rPr>
          <w:rStyle w:val="whitespace-normal"/>
          <w:rFonts w:eastAsiaTheme="majorEastAsia"/>
        </w:rPr>
        <w:t xml:space="preserve"> na sjednici održanoj </w:t>
      </w:r>
      <w:r w:rsidR="001366B7" w:rsidRPr="00186FE6">
        <w:rPr>
          <w:rStyle w:val="whitespace-normal"/>
          <w:rFonts w:eastAsiaTheme="majorEastAsia"/>
        </w:rPr>
        <w:t>31</w:t>
      </w:r>
      <w:r w:rsidR="00E048CA" w:rsidRPr="00186FE6">
        <w:rPr>
          <w:rStyle w:val="whitespace-normal"/>
          <w:rFonts w:eastAsiaTheme="majorEastAsia"/>
        </w:rPr>
        <w:t xml:space="preserve">. </w:t>
      </w:r>
      <w:r w:rsidR="001366B7" w:rsidRPr="00186FE6">
        <w:rPr>
          <w:rStyle w:val="whitespace-normal"/>
          <w:rFonts w:eastAsiaTheme="majorEastAsia"/>
        </w:rPr>
        <w:t>siječnja</w:t>
      </w:r>
      <w:r w:rsidRPr="00186FE6">
        <w:rPr>
          <w:rStyle w:val="whitespace-normal"/>
          <w:rFonts w:eastAsiaTheme="majorEastAsia"/>
        </w:rPr>
        <w:t xml:space="preserve"> 2022. godine.</w:t>
      </w:r>
    </w:p>
    <w:p w14:paraId="3CF3879B" w14:textId="00345FB4" w:rsidR="0066386C" w:rsidRPr="0066386C" w:rsidRDefault="0066386C" w:rsidP="0066386C">
      <w:pPr>
        <w:pStyle w:val="NormalWeb"/>
        <w:jc w:val="both"/>
        <w:rPr>
          <w:rStyle w:val="whitespace-normal"/>
          <w:rFonts w:eastAsiaTheme="majorEastAsia"/>
        </w:rPr>
      </w:pPr>
      <w:r w:rsidRPr="0066386C">
        <w:rPr>
          <w:rStyle w:val="whitespace-normal"/>
          <w:rFonts w:eastAsiaTheme="majorEastAsia"/>
        </w:rPr>
        <w:t>Trgovačko društvo 6. MAJ d.o.o. za obavljanje javne usluge</w:t>
      </w:r>
      <w:r w:rsidR="0092685B">
        <w:rPr>
          <w:rStyle w:val="whitespace-normal"/>
          <w:rFonts w:eastAsiaTheme="majorEastAsia"/>
        </w:rPr>
        <w:t xml:space="preserve"> sakupljanja otpada</w:t>
      </w:r>
      <w:r w:rsidRPr="0066386C">
        <w:rPr>
          <w:rStyle w:val="whitespace-normal"/>
          <w:rFonts w:eastAsiaTheme="majorEastAsia"/>
        </w:rPr>
        <w:t xml:space="preserve"> snosi brojne troškove, među kojima su troškovi nabave i održavanja opreme za prikupljanje otpada, troškovi transporta, troškovi rada reciklažnog dvorišta, izdaci za zaposlene te drugi operativni troškovi.</w:t>
      </w:r>
    </w:p>
    <w:p w14:paraId="2D906E4F" w14:textId="47CE004C" w:rsidR="0066386C" w:rsidRPr="0066386C" w:rsidRDefault="0066386C" w:rsidP="00D458A4">
      <w:pPr>
        <w:pStyle w:val="NormalWeb"/>
        <w:jc w:val="both"/>
        <w:rPr>
          <w:rStyle w:val="whitespace-normal"/>
          <w:rFonts w:eastAsiaTheme="majorEastAsia"/>
        </w:rPr>
      </w:pPr>
      <w:r w:rsidRPr="0066386C">
        <w:rPr>
          <w:rStyle w:val="whitespace-normal"/>
          <w:rFonts w:eastAsiaTheme="majorEastAsia"/>
        </w:rPr>
        <w:t>Istodobno, od 2021. i 2022. godine, kada je formirana cijena određena ranije navedenom Odlukom, došlo je do osjetnog povećanja ukupnih troškova poslovanja, zbog čega je pružanje usluge po postojećim cijenama postalo dugoročno financijski otežano.</w:t>
      </w:r>
    </w:p>
    <w:p w14:paraId="56A74B83" w14:textId="18E4A963" w:rsidR="00B12E12" w:rsidRDefault="0066386C" w:rsidP="0066386C">
      <w:pPr>
        <w:pStyle w:val="NormalWeb"/>
      </w:pPr>
      <w:r w:rsidRPr="0066386C">
        <w:rPr>
          <w:rStyle w:val="whitespace-normal"/>
          <w:rFonts w:eastAsiaTheme="majorEastAsia"/>
        </w:rPr>
        <w:t>U nastavku se daje tablični prikaz povećanja cijena predaje na obradu i oporabu pojedinih kategorija otpada kroz promatrano razdoblje:</w:t>
      </w:r>
    </w:p>
    <w:tbl>
      <w:tblPr>
        <w:tblW w:w="9634" w:type="dxa"/>
        <w:tblLook w:val="04A0" w:firstRow="1" w:lastRow="0" w:firstColumn="1" w:lastColumn="0" w:noHBand="0" w:noVBand="1"/>
      </w:tblPr>
      <w:tblGrid>
        <w:gridCol w:w="2830"/>
        <w:gridCol w:w="1134"/>
        <w:gridCol w:w="1134"/>
        <w:gridCol w:w="1134"/>
        <w:gridCol w:w="1276"/>
        <w:gridCol w:w="1134"/>
        <w:gridCol w:w="992"/>
      </w:tblGrid>
      <w:tr w:rsidR="00896260" w:rsidRPr="00896260" w14:paraId="0CD13CF8" w14:textId="77777777" w:rsidTr="00896260">
        <w:trPr>
          <w:trHeight w:val="324"/>
        </w:trPr>
        <w:tc>
          <w:tcPr>
            <w:tcW w:w="2830" w:type="dxa"/>
            <w:tcBorders>
              <w:top w:val="single" w:sz="4" w:space="0" w:color="auto"/>
              <w:left w:val="single" w:sz="4" w:space="0" w:color="auto"/>
              <w:bottom w:val="single" w:sz="8" w:space="0" w:color="auto"/>
              <w:right w:val="nil"/>
            </w:tcBorders>
            <w:shd w:val="clear" w:color="000000" w:fill="BFBFBF"/>
            <w:noWrap/>
            <w:vAlign w:val="center"/>
            <w:hideMark/>
          </w:tcPr>
          <w:p w14:paraId="4B12C6D3" w14:textId="77777777" w:rsidR="00896260" w:rsidRPr="00896260" w:rsidRDefault="00896260" w:rsidP="00896260">
            <w:pPr>
              <w:spacing w:after="0" w:line="240" w:lineRule="auto"/>
              <w:jc w:val="center"/>
              <w:rPr>
                <w:rFonts w:ascii="Times New Roman" w:eastAsia="Times New Roman" w:hAnsi="Times New Roman" w:cs="Times New Roman"/>
                <w:b/>
                <w:bCs/>
                <w:i/>
                <w:iCs/>
                <w:color w:val="000000"/>
                <w:kern w:val="0"/>
                <w:sz w:val="24"/>
                <w:szCs w:val="24"/>
                <w:lang w:eastAsia="hr-HR"/>
                <w14:ligatures w14:val="none"/>
              </w:rPr>
            </w:pPr>
            <w:r w:rsidRPr="00896260">
              <w:rPr>
                <w:rFonts w:ascii="Times New Roman" w:eastAsia="Times New Roman" w:hAnsi="Times New Roman" w:cs="Times New Roman"/>
                <w:b/>
                <w:bCs/>
                <w:i/>
                <w:iCs/>
                <w:color w:val="000000"/>
                <w:kern w:val="0"/>
                <w:sz w:val="24"/>
                <w:szCs w:val="24"/>
                <w:lang w:eastAsia="hr-HR"/>
                <w14:ligatures w14:val="none"/>
              </w:rPr>
              <w:t>VRSTA OTPADA</w:t>
            </w:r>
          </w:p>
        </w:tc>
        <w:tc>
          <w:tcPr>
            <w:tcW w:w="1134" w:type="dxa"/>
            <w:tcBorders>
              <w:top w:val="single" w:sz="4" w:space="0" w:color="auto"/>
              <w:left w:val="nil"/>
              <w:bottom w:val="single" w:sz="8" w:space="0" w:color="auto"/>
              <w:right w:val="single" w:sz="4" w:space="0" w:color="auto"/>
            </w:tcBorders>
            <w:shd w:val="clear" w:color="000000" w:fill="BFBFBF"/>
            <w:noWrap/>
            <w:vAlign w:val="center"/>
            <w:hideMark/>
          </w:tcPr>
          <w:p w14:paraId="2A6269DD" w14:textId="77777777" w:rsidR="00896260" w:rsidRPr="00896260" w:rsidRDefault="00896260" w:rsidP="00896260">
            <w:pPr>
              <w:spacing w:after="0" w:line="240" w:lineRule="auto"/>
              <w:jc w:val="center"/>
              <w:rPr>
                <w:rFonts w:ascii="Times New Roman" w:eastAsia="Times New Roman" w:hAnsi="Times New Roman" w:cs="Times New Roman"/>
                <w:b/>
                <w:bCs/>
                <w:i/>
                <w:iCs/>
                <w:color w:val="000000"/>
                <w:kern w:val="0"/>
                <w:sz w:val="24"/>
                <w:szCs w:val="24"/>
                <w:lang w:eastAsia="hr-HR"/>
                <w14:ligatures w14:val="none"/>
              </w:rPr>
            </w:pPr>
            <w:r w:rsidRPr="00896260">
              <w:rPr>
                <w:rFonts w:ascii="Times New Roman" w:eastAsia="Times New Roman" w:hAnsi="Times New Roman" w:cs="Times New Roman"/>
                <w:b/>
                <w:bCs/>
                <w:i/>
                <w:iCs/>
                <w:color w:val="000000"/>
                <w:kern w:val="0"/>
                <w:sz w:val="24"/>
                <w:szCs w:val="24"/>
                <w:lang w:eastAsia="hr-HR"/>
                <w14:ligatures w14:val="none"/>
              </w:rPr>
              <w:t>2021</w:t>
            </w:r>
          </w:p>
        </w:tc>
        <w:tc>
          <w:tcPr>
            <w:tcW w:w="1134" w:type="dxa"/>
            <w:tcBorders>
              <w:top w:val="single" w:sz="4" w:space="0" w:color="auto"/>
              <w:left w:val="nil"/>
              <w:bottom w:val="single" w:sz="8" w:space="0" w:color="auto"/>
              <w:right w:val="single" w:sz="4" w:space="0" w:color="auto"/>
            </w:tcBorders>
            <w:shd w:val="clear" w:color="000000" w:fill="BFBFBF"/>
            <w:vAlign w:val="center"/>
            <w:hideMark/>
          </w:tcPr>
          <w:p w14:paraId="1C841BA1" w14:textId="77777777" w:rsidR="00896260" w:rsidRPr="00896260" w:rsidRDefault="00896260" w:rsidP="00896260">
            <w:pPr>
              <w:spacing w:after="0" w:line="240" w:lineRule="auto"/>
              <w:jc w:val="center"/>
              <w:rPr>
                <w:rFonts w:ascii="Times New Roman" w:eastAsia="Times New Roman" w:hAnsi="Times New Roman" w:cs="Times New Roman"/>
                <w:b/>
                <w:bCs/>
                <w:i/>
                <w:iCs/>
                <w:color w:val="000000"/>
                <w:kern w:val="0"/>
                <w:sz w:val="24"/>
                <w:szCs w:val="24"/>
                <w:lang w:eastAsia="hr-HR"/>
                <w14:ligatures w14:val="none"/>
              </w:rPr>
            </w:pPr>
            <w:r w:rsidRPr="00896260">
              <w:rPr>
                <w:rFonts w:ascii="Times New Roman" w:eastAsia="Times New Roman" w:hAnsi="Times New Roman" w:cs="Times New Roman"/>
                <w:b/>
                <w:bCs/>
                <w:i/>
                <w:iCs/>
                <w:color w:val="000000"/>
                <w:kern w:val="0"/>
                <w:sz w:val="24"/>
                <w:szCs w:val="24"/>
                <w:lang w:eastAsia="hr-HR"/>
                <w14:ligatures w14:val="none"/>
              </w:rPr>
              <w:t>2022</w:t>
            </w:r>
          </w:p>
        </w:tc>
        <w:tc>
          <w:tcPr>
            <w:tcW w:w="1134" w:type="dxa"/>
            <w:tcBorders>
              <w:top w:val="single" w:sz="4" w:space="0" w:color="auto"/>
              <w:left w:val="nil"/>
              <w:bottom w:val="single" w:sz="8" w:space="0" w:color="auto"/>
              <w:right w:val="single" w:sz="4" w:space="0" w:color="auto"/>
            </w:tcBorders>
            <w:shd w:val="clear" w:color="000000" w:fill="BFBFBF"/>
            <w:vAlign w:val="center"/>
            <w:hideMark/>
          </w:tcPr>
          <w:p w14:paraId="1324A8E3" w14:textId="77777777" w:rsidR="00896260" w:rsidRPr="00896260" w:rsidRDefault="00896260" w:rsidP="00896260">
            <w:pPr>
              <w:spacing w:after="0" w:line="240" w:lineRule="auto"/>
              <w:jc w:val="center"/>
              <w:rPr>
                <w:rFonts w:ascii="Times New Roman" w:eastAsia="Times New Roman" w:hAnsi="Times New Roman" w:cs="Times New Roman"/>
                <w:b/>
                <w:bCs/>
                <w:i/>
                <w:iCs/>
                <w:color w:val="000000"/>
                <w:kern w:val="0"/>
                <w:sz w:val="24"/>
                <w:szCs w:val="24"/>
                <w:lang w:eastAsia="hr-HR"/>
                <w14:ligatures w14:val="none"/>
              </w:rPr>
            </w:pPr>
            <w:r w:rsidRPr="00896260">
              <w:rPr>
                <w:rFonts w:ascii="Times New Roman" w:eastAsia="Times New Roman" w:hAnsi="Times New Roman" w:cs="Times New Roman"/>
                <w:b/>
                <w:bCs/>
                <w:i/>
                <w:iCs/>
                <w:color w:val="000000"/>
                <w:kern w:val="0"/>
                <w:sz w:val="24"/>
                <w:szCs w:val="24"/>
                <w:lang w:eastAsia="hr-HR"/>
                <w14:ligatures w14:val="none"/>
              </w:rPr>
              <w:t>2023</w:t>
            </w:r>
          </w:p>
        </w:tc>
        <w:tc>
          <w:tcPr>
            <w:tcW w:w="1276" w:type="dxa"/>
            <w:tcBorders>
              <w:top w:val="single" w:sz="4" w:space="0" w:color="auto"/>
              <w:left w:val="nil"/>
              <w:bottom w:val="single" w:sz="8" w:space="0" w:color="auto"/>
              <w:right w:val="single" w:sz="4" w:space="0" w:color="auto"/>
            </w:tcBorders>
            <w:shd w:val="clear" w:color="000000" w:fill="BFBFBF"/>
            <w:vAlign w:val="center"/>
            <w:hideMark/>
          </w:tcPr>
          <w:p w14:paraId="006FC531" w14:textId="77777777" w:rsidR="00896260" w:rsidRPr="00896260" w:rsidRDefault="00896260" w:rsidP="00896260">
            <w:pPr>
              <w:spacing w:after="0" w:line="240" w:lineRule="auto"/>
              <w:jc w:val="center"/>
              <w:rPr>
                <w:rFonts w:ascii="Times New Roman" w:eastAsia="Times New Roman" w:hAnsi="Times New Roman" w:cs="Times New Roman"/>
                <w:b/>
                <w:bCs/>
                <w:i/>
                <w:iCs/>
                <w:color w:val="000000"/>
                <w:kern w:val="0"/>
                <w:sz w:val="24"/>
                <w:szCs w:val="24"/>
                <w:lang w:eastAsia="hr-HR"/>
                <w14:ligatures w14:val="none"/>
              </w:rPr>
            </w:pPr>
            <w:r w:rsidRPr="00896260">
              <w:rPr>
                <w:rFonts w:ascii="Times New Roman" w:eastAsia="Times New Roman" w:hAnsi="Times New Roman" w:cs="Times New Roman"/>
                <w:b/>
                <w:bCs/>
                <w:i/>
                <w:iCs/>
                <w:color w:val="000000"/>
                <w:kern w:val="0"/>
                <w:sz w:val="24"/>
                <w:szCs w:val="24"/>
                <w:lang w:eastAsia="hr-HR"/>
                <w14:ligatures w14:val="none"/>
              </w:rPr>
              <w:t>2024</w:t>
            </w:r>
          </w:p>
        </w:tc>
        <w:tc>
          <w:tcPr>
            <w:tcW w:w="1134" w:type="dxa"/>
            <w:tcBorders>
              <w:top w:val="single" w:sz="4" w:space="0" w:color="auto"/>
              <w:left w:val="nil"/>
              <w:bottom w:val="single" w:sz="8" w:space="0" w:color="auto"/>
              <w:right w:val="nil"/>
            </w:tcBorders>
            <w:shd w:val="clear" w:color="000000" w:fill="BFBFBF"/>
            <w:vAlign w:val="center"/>
            <w:hideMark/>
          </w:tcPr>
          <w:p w14:paraId="5AEC892B" w14:textId="77777777" w:rsidR="00896260" w:rsidRPr="00896260" w:rsidRDefault="00896260" w:rsidP="00896260">
            <w:pPr>
              <w:spacing w:after="0" w:line="240" w:lineRule="auto"/>
              <w:jc w:val="center"/>
              <w:rPr>
                <w:rFonts w:ascii="Times New Roman" w:eastAsia="Times New Roman" w:hAnsi="Times New Roman" w:cs="Times New Roman"/>
                <w:b/>
                <w:bCs/>
                <w:i/>
                <w:iCs/>
                <w:color w:val="000000"/>
                <w:kern w:val="0"/>
                <w:sz w:val="24"/>
                <w:szCs w:val="24"/>
                <w:lang w:eastAsia="hr-HR"/>
                <w14:ligatures w14:val="none"/>
              </w:rPr>
            </w:pPr>
            <w:r w:rsidRPr="00896260">
              <w:rPr>
                <w:rFonts w:ascii="Times New Roman" w:eastAsia="Times New Roman" w:hAnsi="Times New Roman" w:cs="Times New Roman"/>
                <w:b/>
                <w:bCs/>
                <w:i/>
                <w:iCs/>
                <w:color w:val="000000"/>
                <w:kern w:val="0"/>
                <w:sz w:val="24"/>
                <w:szCs w:val="24"/>
                <w:lang w:eastAsia="hr-HR"/>
                <w14:ligatures w14:val="none"/>
              </w:rPr>
              <w:t>2025</w:t>
            </w:r>
          </w:p>
        </w:tc>
        <w:tc>
          <w:tcPr>
            <w:tcW w:w="992" w:type="dxa"/>
            <w:tcBorders>
              <w:top w:val="single" w:sz="4" w:space="0" w:color="auto"/>
              <w:left w:val="nil"/>
              <w:bottom w:val="single" w:sz="8" w:space="0" w:color="auto"/>
              <w:right w:val="single" w:sz="4" w:space="0" w:color="auto"/>
            </w:tcBorders>
            <w:noWrap/>
            <w:vAlign w:val="bottom"/>
            <w:hideMark/>
          </w:tcPr>
          <w:p w14:paraId="3F572272" w14:textId="73B03BF8" w:rsidR="00896260" w:rsidRPr="00896260" w:rsidRDefault="00896260" w:rsidP="00896260">
            <w:pPr>
              <w:spacing w:after="0" w:line="240" w:lineRule="auto"/>
              <w:jc w:val="center"/>
              <w:rPr>
                <w:rFonts w:ascii="Times New Roman" w:eastAsia="Times New Roman" w:hAnsi="Times New Roman" w:cs="Times New Roman"/>
                <w:b/>
                <w:bCs/>
                <w:i/>
                <w:iCs/>
                <w:color w:val="000000"/>
                <w:kern w:val="0"/>
                <w:sz w:val="24"/>
                <w:szCs w:val="24"/>
                <w:lang w:eastAsia="hr-HR"/>
                <w14:ligatures w14:val="none"/>
              </w:rPr>
            </w:pPr>
            <w:r>
              <w:rPr>
                <w:rFonts w:ascii="Times New Roman" w:eastAsia="Times New Roman" w:hAnsi="Times New Roman" w:cs="Times New Roman"/>
                <w:b/>
                <w:bCs/>
                <w:i/>
                <w:iCs/>
                <w:color w:val="000000"/>
                <w:kern w:val="0"/>
                <w:sz w:val="24"/>
                <w:szCs w:val="24"/>
                <w:lang w:eastAsia="hr-HR"/>
                <w14:ligatures w14:val="none"/>
              </w:rPr>
              <w:t>%</w:t>
            </w:r>
          </w:p>
        </w:tc>
      </w:tr>
      <w:tr w:rsidR="00896260" w:rsidRPr="00896260" w14:paraId="2B1B4B64" w14:textId="77777777" w:rsidTr="0090349D">
        <w:trPr>
          <w:trHeight w:val="636"/>
        </w:trPr>
        <w:tc>
          <w:tcPr>
            <w:tcW w:w="2830" w:type="dxa"/>
            <w:tcBorders>
              <w:top w:val="single" w:sz="8" w:space="0" w:color="auto"/>
              <w:left w:val="single" w:sz="4" w:space="0" w:color="auto"/>
              <w:bottom w:val="single" w:sz="8" w:space="0" w:color="auto"/>
              <w:right w:val="nil"/>
            </w:tcBorders>
            <w:vAlign w:val="center"/>
            <w:hideMark/>
          </w:tcPr>
          <w:p w14:paraId="521CA97E" w14:textId="77777777" w:rsidR="00896260" w:rsidRPr="008674CC" w:rsidRDefault="00896260" w:rsidP="00896260">
            <w:pPr>
              <w:spacing w:after="0" w:line="240" w:lineRule="auto"/>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Zbrinjavanje glomaznog otpada         KB 20 03 07</w:t>
            </w:r>
          </w:p>
        </w:tc>
        <w:tc>
          <w:tcPr>
            <w:tcW w:w="1134" w:type="dxa"/>
            <w:tcBorders>
              <w:top w:val="single" w:sz="8" w:space="0" w:color="auto"/>
              <w:left w:val="single" w:sz="8" w:space="0" w:color="auto"/>
              <w:bottom w:val="single" w:sz="8" w:space="0" w:color="auto"/>
              <w:right w:val="single" w:sz="8" w:space="0" w:color="auto"/>
            </w:tcBorders>
            <w:noWrap/>
            <w:vAlign w:val="center"/>
            <w:hideMark/>
          </w:tcPr>
          <w:p w14:paraId="309F37D7"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122,00 €</w:t>
            </w:r>
          </w:p>
        </w:tc>
        <w:tc>
          <w:tcPr>
            <w:tcW w:w="1134" w:type="dxa"/>
            <w:tcBorders>
              <w:top w:val="single" w:sz="8" w:space="0" w:color="auto"/>
              <w:left w:val="nil"/>
              <w:bottom w:val="single" w:sz="8" w:space="0" w:color="auto"/>
              <w:right w:val="single" w:sz="8" w:space="0" w:color="auto"/>
            </w:tcBorders>
            <w:noWrap/>
            <w:vAlign w:val="center"/>
            <w:hideMark/>
          </w:tcPr>
          <w:p w14:paraId="672E109D" w14:textId="781CCE2A" w:rsidR="00896260" w:rsidRPr="008674CC" w:rsidRDefault="0092685B"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Pr>
                <w:rFonts w:ascii="Times New Roman" w:eastAsia="Times New Roman" w:hAnsi="Times New Roman" w:cs="Times New Roman"/>
                <w:color w:val="000000"/>
                <w:kern w:val="0"/>
                <w:sz w:val="24"/>
                <w:szCs w:val="24"/>
                <w:lang w:eastAsia="hr-HR"/>
                <w14:ligatures w14:val="none"/>
              </w:rPr>
              <w:t>112</w:t>
            </w:r>
            <w:r w:rsidR="00896260" w:rsidRPr="008674CC">
              <w:rPr>
                <w:rFonts w:ascii="Times New Roman" w:eastAsia="Times New Roman" w:hAnsi="Times New Roman" w:cs="Times New Roman"/>
                <w:color w:val="000000"/>
                <w:kern w:val="0"/>
                <w:sz w:val="24"/>
                <w:szCs w:val="24"/>
                <w:lang w:eastAsia="hr-HR"/>
                <w14:ligatures w14:val="none"/>
              </w:rPr>
              <w:t>,</w:t>
            </w:r>
            <w:r>
              <w:rPr>
                <w:rFonts w:ascii="Times New Roman" w:eastAsia="Times New Roman" w:hAnsi="Times New Roman" w:cs="Times New Roman"/>
                <w:color w:val="000000"/>
                <w:kern w:val="0"/>
                <w:sz w:val="24"/>
                <w:szCs w:val="24"/>
                <w:lang w:eastAsia="hr-HR"/>
                <w14:ligatures w14:val="none"/>
              </w:rPr>
              <w:t>15</w:t>
            </w:r>
            <w:r w:rsidR="00896260" w:rsidRPr="008674CC">
              <w:rPr>
                <w:rFonts w:ascii="Times New Roman" w:eastAsia="Times New Roman" w:hAnsi="Times New Roman" w:cs="Times New Roman"/>
                <w:color w:val="000000"/>
                <w:kern w:val="0"/>
                <w:sz w:val="24"/>
                <w:szCs w:val="24"/>
                <w:lang w:eastAsia="hr-HR"/>
                <w14:ligatures w14:val="none"/>
              </w:rPr>
              <w:t xml:space="preserve"> €</w:t>
            </w:r>
          </w:p>
        </w:tc>
        <w:tc>
          <w:tcPr>
            <w:tcW w:w="1134" w:type="dxa"/>
            <w:tcBorders>
              <w:top w:val="single" w:sz="8" w:space="0" w:color="auto"/>
              <w:left w:val="nil"/>
              <w:bottom w:val="single" w:sz="8" w:space="0" w:color="auto"/>
              <w:right w:val="single" w:sz="8" w:space="0" w:color="auto"/>
            </w:tcBorders>
            <w:noWrap/>
            <w:vAlign w:val="center"/>
            <w:hideMark/>
          </w:tcPr>
          <w:p w14:paraId="6D404B3F"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155,00 €</w:t>
            </w:r>
          </w:p>
        </w:tc>
        <w:tc>
          <w:tcPr>
            <w:tcW w:w="1276" w:type="dxa"/>
            <w:tcBorders>
              <w:top w:val="single" w:sz="8" w:space="0" w:color="auto"/>
              <w:left w:val="nil"/>
              <w:bottom w:val="single" w:sz="8" w:space="0" w:color="auto"/>
              <w:right w:val="nil"/>
            </w:tcBorders>
            <w:noWrap/>
            <w:vAlign w:val="center"/>
            <w:hideMark/>
          </w:tcPr>
          <w:p w14:paraId="5693A586"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209,00 €</w:t>
            </w:r>
          </w:p>
        </w:tc>
        <w:tc>
          <w:tcPr>
            <w:tcW w:w="1134" w:type="dxa"/>
            <w:tcBorders>
              <w:top w:val="single" w:sz="8" w:space="0" w:color="auto"/>
              <w:left w:val="single" w:sz="8" w:space="0" w:color="auto"/>
              <w:bottom w:val="single" w:sz="8" w:space="0" w:color="auto"/>
              <w:right w:val="nil"/>
            </w:tcBorders>
            <w:noWrap/>
            <w:vAlign w:val="center"/>
            <w:hideMark/>
          </w:tcPr>
          <w:p w14:paraId="7941E669" w14:textId="77777777" w:rsidR="00896260" w:rsidRPr="00896260"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96260">
              <w:rPr>
                <w:rFonts w:ascii="Times New Roman" w:eastAsia="Times New Roman" w:hAnsi="Times New Roman" w:cs="Times New Roman"/>
                <w:color w:val="000000"/>
                <w:kern w:val="0"/>
                <w:sz w:val="24"/>
                <w:szCs w:val="24"/>
                <w:lang w:eastAsia="hr-HR"/>
                <w14:ligatures w14:val="none"/>
              </w:rPr>
              <w:t>231,00 €</w:t>
            </w:r>
          </w:p>
        </w:tc>
        <w:tc>
          <w:tcPr>
            <w:tcW w:w="992" w:type="dxa"/>
            <w:tcBorders>
              <w:top w:val="single" w:sz="8" w:space="0" w:color="auto"/>
              <w:left w:val="single" w:sz="8" w:space="0" w:color="auto"/>
              <w:bottom w:val="single" w:sz="8" w:space="0" w:color="auto"/>
              <w:right w:val="single" w:sz="8" w:space="0" w:color="auto"/>
            </w:tcBorders>
            <w:noWrap/>
            <w:vAlign w:val="center"/>
            <w:hideMark/>
          </w:tcPr>
          <w:p w14:paraId="70313716" w14:textId="77777777" w:rsidR="00896260" w:rsidRPr="00896260"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96260">
              <w:rPr>
                <w:rFonts w:ascii="Times New Roman" w:eastAsia="Times New Roman" w:hAnsi="Times New Roman" w:cs="Times New Roman"/>
                <w:color w:val="000000"/>
                <w:kern w:val="0"/>
                <w:sz w:val="24"/>
                <w:szCs w:val="24"/>
                <w:lang w:eastAsia="hr-HR"/>
                <w14:ligatures w14:val="none"/>
              </w:rPr>
              <w:t>89%</w:t>
            </w:r>
          </w:p>
        </w:tc>
      </w:tr>
      <w:tr w:rsidR="00896260" w:rsidRPr="00896260" w14:paraId="6A4F165C" w14:textId="77777777" w:rsidTr="0090349D">
        <w:trPr>
          <w:trHeight w:val="636"/>
        </w:trPr>
        <w:tc>
          <w:tcPr>
            <w:tcW w:w="2830" w:type="dxa"/>
            <w:tcBorders>
              <w:top w:val="nil"/>
              <w:left w:val="single" w:sz="4" w:space="0" w:color="auto"/>
              <w:bottom w:val="single" w:sz="8" w:space="0" w:color="auto"/>
              <w:right w:val="nil"/>
            </w:tcBorders>
            <w:vAlign w:val="center"/>
            <w:hideMark/>
          </w:tcPr>
          <w:p w14:paraId="512813AB" w14:textId="77777777" w:rsidR="00896260" w:rsidRPr="008674CC" w:rsidRDefault="00896260" w:rsidP="00896260">
            <w:pPr>
              <w:spacing w:after="0" w:line="240" w:lineRule="auto"/>
              <w:rPr>
                <w:rFonts w:ascii="Times New Roman" w:eastAsia="Times New Roman" w:hAnsi="Times New Roman" w:cs="Times New Roman"/>
                <w:kern w:val="0"/>
                <w:sz w:val="24"/>
                <w:szCs w:val="24"/>
                <w:lang w:eastAsia="hr-HR"/>
                <w14:ligatures w14:val="none"/>
              </w:rPr>
            </w:pPr>
            <w:r w:rsidRPr="008674CC">
              <w:rPr>
                <w:rFonts w:ascii="Times New Roman" w:eastAsia="Times New Roman" w:hAnsi="Times New Roman" w:cs="Times New Roman"/>
                <w:kern w:val="0"/>
                <w:sz w:val="24"/>
                <w:szCs w:val="24"/>
                <w:lang w:eastAsia="hr-HR"/>
                <w14:ligatures w14:val="none"/>
              </w:rPr>
              <w:t>Zbrinjavanje plastične ambalaže      K.B. 15 01 02</w:t>
            </w:r>
          </w:p>
        </w:tc>
        <w:tc>
          <w:tcPr>
            <w:tcW w:w="1134" w:type="dxa"/>
            <w:tcBorders>
              <w:top w:val="nil"/>
              <w:left w:val="single" w:sz="8" w:space="0" w:color="auto"/>
              <w:bottom w:val="single" w:sz="8" w:space="0" w:color="auto"/>
              <w:right w:val="single" w:sz="8" w:space="0" w:color="auto"/>
            </w:tcBorders>
            <w:noWrap/>
            <w:vAlign w:val="center"/>
            <w:hideMark/>
          </w:tcPr>
          <w:p w14:paraId="098766E2"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119,00 €</w:t>
            </w:r>
          </w:p>
        </w:tc>
        <w:tc>
          <w:tcPr>
            <w:tcW w:w="1134" w:type="dxa"/>
            <w:tcBorders>
              <w:top w:val="nil"/>
              <w:left w:val="nil"/>
              <w:bottom w:val="single" w:sz="8" w:space="0" w:color="auto"/>
              <w:right w:val="single" w:sz="8" w:space="0" w:color="auto"/>
            </w:tcBorders>
            <w:noWrap/>
            <w:vAlign w:val="center"/>
            <w:hideMark/>
          </w:tcPr>
          <w:p w14:paraId="2A82A4D3"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148,00 €</w:t>
            </w:r>
          </w:p>
        </w:tc>
        <w:tc>
          <w:tcPr>
            <w:tcW w:w="1134" w:type="dxa"/>
            <w:tcBorders>
              <w:top w:val="nil"/>
              <w:left w:val="nil"/>
              <w:bottom w:val="single" w:sz="8" w:space="0" w:color="auto"/>
              <w:right w:val="single" w:sz="8" w:space="0" w:color="auto"/>
            </w:tcBorders>
            <w:noWrap/>
            <w:vAlign w:val="center"/>
            <w:hideMark/>
          </w:tcPr>
          <w:p w14:paraId="70F9F962"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190,00 €</w:t>
            </w:r>
          </w:p>
        </w:tc>
        <w:tc>
          <w:tcPr>
            <w:tcW w:w="1276" w:type="dxa"/>
            <w:tcBorders>
              <w:top w:val="nil"/>
              <w:left w:val="nil"/>
              <w:bottom w:val="single" w:sz="8" w:space="0" w:color="auto"/>
              <w:right w:val="nil"/>
            </w:tcBorders>
            <w:noWrap/>
            <w:vAlign w:val="center"/>
            <w:hideMark/>
          </w:tcPr>
          <w:p w14:paraId="40E1106C"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260,00 €</w:t>
            </w:r>
          </w:p>
        </w:tc>
        <w:tc>
          <w:tcPr>
            <w:tcW w:w="1134" w:type="dxa"/>
            <w:tcBorders>
              <w:top w:val="nil"/>
              <w:left w:val="single" w:sz="8" w:space="0" w:color="auto"/>
              <w:bottom w:val="single" w:sz="8" w:space="0" w:color="auto"/>
              <w:right w:val="nil"/>
            </w:tcBorders>
            <w:noWrap/>
            <w:vAlign w:val="center"/>
            <w:hideMark/>
          </w:tcPr>
          <w:p w14:paraId="153FE7C3" w14:textId="77777777" w:rsidR="00896260" w:rsidRPr="00896260"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96260">
              <w:rPr>
                <w:rFonts w:ascii="Times New Roman" w:eastAsia="Times New Roman" w:hAnsi="Times New Roman" w:cs="Times New Roman"/>
                <w:color w:val="000000"/>
                <w:kern w:val="0"/>
                <w:sz w:val="24"/>
                <w:szCs w:val="24"/>
                <w:lang w:eastAsia="hr-HR"/>
                <w14:ligatures w14:val="none"/>
              </w:rPr>
              <w:t>285,00 €</w:t>
            </w:r>
          </w:p>
        </w:tc>
        <w:tc>
          <w:tcPr>
            <w:tcW w:w="992" w:type="dxa"/>
            <w:tcBorders>
              <w:top w:val="nil"/>
              <w:left w:val="single" w:sz="8" w:space="0" w:color="auto"/>
              <w:bottom w:val="single" w:sz="8" w:space="0" w:color="auto"/>
              <w:right w:val="single" w:sz="8" w:space="0" w:color="auto"/>
            </w:tcBorders>
            <w:noWrap/>
            <w:vAlign w:val="center"/>
            <w:hideMark/>
          </w:tcPr>
          <w:p w14:paraId="4FAAE63A" w14:textId="77777777" w:rsidR="00896260" w:rsidRPr="00896260"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96260">
              <w:rPr>
                <w:rFonts w:ascii="Times New Roman" w:eastAsia="Times New Roman" w:hAnsi="Times New Roman" w:cs="Times New Roman"/>
                <w:color w:val="000000"/>
                <w:kern w:val="0"/>
                <w:sz w:val="24"/>
                <w:szCs w:val="24"/>
                <w:lang w:eastAsia="hr-HR"/>
                <w14:ligatures w14:val="none"/>
              </w:rPr>
              <w:t>139%</w:t>
            </w:r>
          </w:p>
        </w:tc>
      </w:tr>
      <w:tr w:rsidR="00896260" w:rsidRPr="00896260" w14:paraId="72DEC4BD" w14:textId="77777777" w:rsidTr="0090349D">
        <w:trPr>
          <w:trHeight w:val="1572"/>
        </w:trPr>
        <w:tc>
          <w:tcPr>
            <w:tcW w:w="2830" w:type="dxa"/>
            <w:tcBorders>
              <w:top w:val="nil"/>
              <w:left w:val="single" w:sz="8" w:space="0" w:color="auto"/>
              <w:bottom w:val="single" w:sz="8" w:space="0" w:color="auto"/>
              <w:right w:val="nil"/>
            </w:tcBorders>
            <w:vAlign w:val="center"/>
            <w:hideMark/>
          </w:tcPr>
          <w:p w14:paraId="7719B8B6" w14:textId="77777777" w:rsidR="00896260" w:rsidRPr="008674CC" w:rsidRDefault="00896260" w:rsidP="00896260">
            <w:pPr>
              <w:spacing w:after="0" w:line="240" w:lineRule="auto"/>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Zbrinjavanje građevinskog otpada koji sadrži azbest (salonitne ploče), izolacijskih materijala koji sadrže azbest ili druge opasne tvari, K.B. 17 06 05*, K.B. 17 06 01*, K.B. 17 06 03*</w:t>
            </w:r>
          </w:p>
        </w:tc>
        <w:tc>
          <w:tcPr>
            <w:tcW w:w="1134" w:type="dxa"/>
            <w:tcBorders>
              <w:top w:val="nil"/>
              <w:left w:val="single" w:sz="8" w:space="0" w:color="auto"/>
              <w:bottom w:val="single" w:sz="8" w:space="0" w:color="auto"/>
              <w:right w:val="single" w:sz="8" w:space="0" w:color="auto"/>
            </w:tcBorders>
            <w:noWrap/>
            <w:vAlign w:val="center"/>
            <w:hideMark/>
          </w:tcPr>
          <w:p w14:paraId="30D01089"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358,00 €</w:t>
            </w:r>
          </w:p>
        </w:tc>
        <w:tc>
          <w:tcPr>
            <w:tcW w:w="1134" w:type="dxa"/>
            <w:tcBorders>
              <w:top w:val="nil"/>
              <w:left w:val="nil"/>
              <w:bottom w:val="single" w:sz="8" w:space="0" w:color="auto"/>
              <w:right w:val="single" w:sz="8" w:space="0" w:color="auto"/>
            </w:tcBorders>
            <w:noWrap/>
            <w:vAlign w:val="center"/>
            <w:hideMark/>
          </w:tcPr>
          <w:p w14:paraId="39171955"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362,00 €</w:t>
            </w:r>
          </w:p>
        </w:tc>
        <w:tc>
          <w:tcPr>
            <w:tcW w:w="1134" w:type="dxa"/>
            <w:tcBorders>
              <w:top w:val="nil"/>
              <w:left w:val="nil"/>
              <w:bottom w:val="single" w:sz="8" w:space="0" w:color="auto"/>
              <w:right w:val="single" w:sz="8" w:space="0" w:color="auto"/>
            </w:tcBorders>
            <w:noWrap/>
            <w:vAlign w:val="center"/>
            <w:hideMark/>
          </w:tcPr>
          <w:p w14:paraId="4633A93F"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450,00 €</w:t>
            </w:r>
          </w:p>
        </w:tc>
        <w:tc>
          <w:tcPr>
            <w:tcW w:w="1276" w:type="dxa"/>
            <w:tcBorders>
              <w:top w:val="nil"/>
              <w:left w:val="nil"/>
              <w:bottom w:val="single" w:sz="8" w:space="0" w:color="auto"/>
              <w:right w:val="single" w:sz="8" w:space="0" w:color="auto"/>
            </w:tcBorders>
            <w:noWrap/>
            <w:vAlign w:val="center"/>
            <w:hideMark/>
          </w:tcPr>
          <w:p w14:paraId="46F0A7C9"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400,00 €</w:t>
            </w:r>
          </w:p>
        </w:tc>
        <w:tc>
          <w:tcPr>
            <w:tcW w:w="1134" w:type="dxa"/>
            <w:tcBorders>
              <w:top w:val="nil"/>
              <w:left w:val="nil"/>
              <w:bottom w:val="single" w:sz="8" w:space="0" w:color="auto"/>
              <w:right w:val="nil"/>
            </w:tcBorders>
            <w:noWrap/>
            <w:vAlign w:val="center"/>
            <w:hideMark/>
          </w:tcPr>
          <w:p w14:paraId="196191F4" w14:textId="77777777" w:rsidR="00896260" w:rsidRPr="00896260"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96260">
              <w:rPr>
                <w:rFonts w:ascii="Times New Roman" w:eastAsia="Times New Roman" w:hAnsi="Times New Roman" w:cs="Times New Roman"/>
                <w:color w:val="000000"/>
                <w:kern w:val="0"/>
                <w:sz w:val="24"/>
                <w:szCs w:val="24"/>
                <w:lang w:eastAsia="hr-HR"/>
                <w14:ligatures w14:val="none"/>
              </w:rPr>
              <w:t>440,00 €</w:t>
            </w:r>
          </w:p>
        </w:tc>
        <w:tc>
          <w:tcPr>
            <w:tcW w:w="992" w:type="dxa"/>
            <w:tcBorders>
              <w:top w:val="nil"/>
              <w:left w:val="single" w:sz="8" w:space="0" w:color="auto"/>
              <w:bottom w:val="single" w:sz="8" w:space="0" w:color="auto"/>
              <w:right w:val="single" w:sz="8" w:space="0" w:color="auto"/>
            </w:tcBorders>
            <w:noWrap/>
            <w:vAlign w:val="center"/>
            <w:hideMark/>
          </w:tcPr>
          <w:p w14:paraId="4F28FF81" w14:textId="77777777" w:rsidR="00896260" w:rsidRPr="00896260"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96260">
              <w:rPr>
                <w:rFonts w:ascii="Times New Roman" w:eastAsia="Times New Roman" w:hAnsi="Times New Roman" w:cs="Times New Roman"/>
                <w:color w:val="000000"/>
                <w:kern w:val="0"/>
                <w:sz w:val="24"/>
                <w:szCs w:val="24"/>
                <w:lang w:eastAsia="hr-HR"/>
                <w14:ligatures w14:val="none"/>
              </w:rPr>
              <w:t>23%</w:t>
            </w:r>
          </w:p>
        </w:tc>
      </w:tr>
      <w:tr w:rsidR="00896260" w:rsidRPr="00896260" w14:paraId="45C2141F" w14:textId="77777777" w:rsidTr="0090349D">
        <w:trPr>
          <w:trHeight w:val="588"/>
        </w:trPr>
        <w:tc>
          <w:tcPr>
            <w:tcW w:w="2830" w:type="dxa"/>
            <w:tcBorders>
              <w:top w:val="nil"/>
              <w:left w:val="single" w:sz="4" w:space="0" w:color="auto"/>
              <w:bottom w:val="single" w:sz="4" w:space="0" w:color="auto"/>
              <w:right w:val="nil"/>
            </w:tcBorders>
            <w:vAlign w:val="center"/>
            <w:hideMark/>
          </w:tcPr>
          <w:p w14:paraId="672E6E6F"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K.B. 17 01 01-  17 01 07 građevinski otpad (beton, cigla crijep,keram.pločice, knauf..)</w:t>
            </w:r>
          </w:p>
        </w:tc>
        <w:tc>
          <w:tcPr>
            <w:tcW w:w="2268" w:type="dxa"/>
            <w:gridSpan w:val="2"/>
            <w:tcBorders>
              <w:top w:val="single" w:sz="8" w:space="0" w:color="auto"/>
              <w:left w:val="single" w:sz="8" w:space="0" w:color="auto"/>
              <w:bottom w:val="single" w:sz="8" w:space="0" w:color="auto"/>
              <w:right w:val="single" w:sz="8" w:space="0" w:color="000000"/>
            </w:tcBorders>
            <w:noWrap/>
            <w:vAlign w:val="center"/>
            <w:hideMark/>
          </w:tcPr>
          <w:p w14:paraId="7B4F8830"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 xml:space="preserve">                                   15,00 € </w:t>
            </w:r>
          </w:p>
        </w:tc>
        <w:tc>
          <w:tcPr>
            <w:tcW w:w="1134" w:type="dxa"/>
            <w:tcBorders>
              <w:top w:val="nil"/>
              <w:left w:val="nil"/>
              <w:bottom w:val="single" w:sz="8" w:space="0" w:color="auto"/>
              <w:right w:val="single" w:sz="8" w:space="0" w:color="auto"/>
            </w:tcBorders>
            <w:noWrap/>
            <w:vAlign w:val="center"/>
            <w:hideMark/>
          </w:tcPr>
          <w:p w14:paraId="3528A0E9"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26,00 €</w:t>
            </w:r>
          </w:p>
        </w:tc>
        <w:tc>
          <w:tcPr>
            <w:tcW w:w="1276" w:type="dxa"/>
            <w:tcBorders>
              <w:top w:val="nil"/>
              <w:left w:val="nil"/>
              <w:bottom w:val="single" w:sz="8" w:space="0" w:color="auto"/>
              <w:right w:val="single" w:sz="8" w:space="0" w:color="auto"/>
            </w:tcBorders>
            <w:noWrap/>
            <w:vAlign w:val="center"/>
            <w:hideMark/>
          </w:tcPr>
          <w:p w14:paraId="72B1CDB4"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25,00 €</w:t>
            </w:r>
          </w:p>
        </w:tc>
        <w:tc>
          <w:tcPr>
            <w:tcW w:w="1134" w:type="dxa"/>
            <w:tcBorders>
              <w:top w:val="nil"/>
              <w:left w:val="nil"/>
              <w:bottom w:val="single" w:sz="8" w:space="0" w:color="auto"/>
              <w:right w:val="nil"/>
            </w:tcBorders>
            <w:noWrap/>
            <w:vAlign w:val="center"/>
            <w:hideMark/>
          </w:tcPr>
          <w:p w14:paraId="2A2D6209" w14:textId="77777777" w:rsidR="00896260" w:rsidRPr="00896260"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96260">
              <w:rPr>
                <w:rFonts w:ascii="Times New Roman" w:eastAsia="Times New Roman" w:hAnsi="Times New Roman" w:cs="Times New Roman"/>
                <w:color w:val="000000"/>
                <w:kern w:val="0"/>
                <w:sz w:val="24"/>
                <w:szCs w:val="24"/>
                <w:lang w:eastAsia="hr-HR"/>
                <w14:ligatures w14:val="none"/>
              </w:rPr>
              <w:t>30,00 €</w:t>
            </w:r>
          </w:p>
        </w:tc>
        <w:tc>
          <w:tcPr>
            <w:tcW w:w="992" w:type="dxa"/>
            <w:tcBorders>
              <w:top w:val="nil"/>
              <w:left w:val="single" w:sz="8" w:space="0" w:color="auto"/>
              <w:bottom w:val="single" w:sz="8" w:space="0" w:color="auto"/>
              <w:right w:val="single" w:sz="8" w:space="0" w:color="auto"/>
            </w:tcBorders>
            <w:noWrap/>
            <w:vAlign w:val="center"/>
            <w:hideMark/>
          </w:tcPr>
          <w:p w14:paraId="2A16BFA0" w14:textId="77777777" w:rsidR="00896260" w:rsidRPr="00896260"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96260">
              <w:rPr>
                <w:rFonts w:ascii="Times New Roman" w:eastAsia="Times New Roman" w:hAnsi="Times New Roman" w:cs="Times New Roman"/>
                <w:color w:val="000000"/>
                <w:kern w:val="0"/>
                <w:sz w:val="24"/>
                <w:szCs w:val="24"/>
                <w:lang w:eastAsia="hr-HR"/>
                <w14:ligatures w14:val="none"/>
              </w:rPr>
              <w:t>100%</w:t>
            </w:r>
          </w:p>
        </w:tc>
      </w:tr>
      <w:tr w:rsidR="00896260" w:rsidRPr="00896260" w14:paraId="6FB155C5" w14:textId="77777777" w:rsidTr="0090349D">
        <w:trPr>
          <w:trHeight w:val="324"/>
        </w:trPr>
        <w:tc>
          <w:tcPr>
            <w:tcW w:w="2830" w:type="dxa"/>
            <w:tcBorders>
              <w:top w:val="nil"/>
              <w:left w:val="single" w:sz="4" w:space="0" w:color="auto"/>
              <w:bottom w:val="single" w:sz="8" w:space="0" w:color="auto"/>
              <w:right w:val="nil"/>
            </w:tcBorders>
            <w:noWrap/>
            <w:vAlign w:val="center"/>
            <w:hideMark/>
          </w:tcPr>
          <w:p w14:paraId="418ACF8A"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K.B. 17 06  izolacijski materijal</w:t>
            </w:r>
          </w:p>
        </w:tc>
        <w:tc>
          <w:tcPr>
            <w:tcW w:w="1134" w:type="dxa"/>
            <w:tcBorders>
              <w:top w:val="nil"/>
              <w:left w:val="single" w:sz="8" w:space="0" w:color="auto"/>
              <w:bottom w:val="single" w:sz="8" w:space="0" w:color="auto"/>
              <w:right w:val="nil"/>
            </w:tcBorders>
            <w:noWrap/>
            <w:vAlign w:val="center"/>
            <w:hideMark/>
          </w:tcPr>
          <w:p w14:paraId="0548B8A7"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 </w:t>
            </w:r>
          </w:p>
        </w:tc>
        <w:tc>
          <w:tcPr>
            <w:tcW w:w="1134" w:type="dxa"/>
            <w:tcBorders>
              <w:top w:val="nil"/>
              <w:left w:val="nil"/>
              <w:bottom w:val="single" w:sz="8" w:space="0" w:color="auto"/>
              <w:right w:val="nil"/>
            </w:tcBorders>
            <w:noWrap/>
            <w:vAlign w:val="center"/>
            <w:hideMark/>
          </w:tcPr>
          <w:p w14:paraId="51E09823"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145,00 €</w:t>
            </w:r>
          </w:p>
        </w:tc>
        <w:tc>
          <w:tcPr>
            <w:tcW w:w="1134" w:type="dxa"/>
            <w:tcBorders>
              <w:top w:val="nil"/>
              <w:left w:val="single" w:sz="8" w:space="0" w:color="auto"/>
              <w:bottom w:val="single" w:sz="8" w:space="0" w:color="auto"/>
              <w:right w:val="single" w:sz="8" w:space="0" w:color="auto"/>
            </w:tcBorders>
            <w:noWrap/>
            <w:vAlign w:val="center"/>
            <w:hideMark/>
          </w:tcPr>
          <w:p w14:paraId="30395CC5"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200,00 €</w:t>
            </w:r>
          </w:p>
        </w:tc>
        <w:tc>
          <w:tcPr>
            <w:tcW w:w="1276" w:type="dxa"/>
            <w:tcBorders>
              <w:top w:val="nil"/>
              <w:left w:val="nil"/>
              <w:bottom w:val="single" w:sz="8" w:space="0" w:color="auto"/>
              <w:right w:val="single" w:sz="8" w:space="0" w:color="auto"/>
            </w:tcBorders>
            <w:noWrap/>
            <w:vAlign w:val="center"/>
            <w:hideMark/>
          </w:tcPr>
          <w:p w14:paraId="23A8B42E"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170,00 €</w:t>
            </w:r>
          </w:p>
        </w:tc>
        <w:tc>
          <w:tcPr>
            <w:tcW w:w="1134" w:type="dxa"/>
            <w:tcBorders>
              <w:top w:val="nil"/>
              <w:left w:val="nil"/>
              <w:bottom w:val="single" w:sz="8" w:space="0" w:color="auto"/>
              <w:right w:val="nil"/>
            </w:tcBorders>
            <w:noWrap/>
            <w:vAlign w:val="center"/>
            <w:hideMark/>
          </w:tcPr>
          <w:p w14:paraId="1A150E8C" w14:textId="77777777" w:rsidR="00896260" w:rsidRPr="00896260"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96260">
              <w:rPr>
                <w:rFonts w:ascii="Times New Roman" w:eastAsia="Times New Roman" w:hAnsi="Times New Roman" w:cs="Times New Roman"/>
                <w:color w:val="000000"/>
                <w:kern w:val="0"/>
                <w:sz w:val="24"/>
                <w:szCs w:val="24"/>
                <w:lang w:eastAsia="hr-HR"/>
                <w14:ligatures w14:val="none"/>
              </w:rPr>
              <w:t>240,00 €</w:t>
            </w:r>
          </w:p>
        </w:tc>
        <w:tc>
          <w:tcPr>
            <w:tcW w:w="992" w:type="dxa"/>
            <w:tcBorders>
              <w:top w:val="nil"/>
              <w:left w:val="single" w:sz="8" w:space="0" w:color="auto"/>
              <w:bottom w:val="single" w:sz="8" w:space="0" w:color="auto"/>
              <w:right w:val="single" w:sz="8" w:space="0" w:color="auto"/>
            </w:tcBorders>
            <w:noWrap/>
            <w:vAlign w:val="center"/>
            <w:hideMark/>
          </w:tcPr>
          <w:p w14:paraId="34DBCF6D" w14:textId="77777777" w:rsidR="00896260" w:rsidRPr="00896260"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96260">
              <w:rPr>
                <w:rFonts w:ascii="Times New Roman" w:eastAsia="Times New Roman" w:hAnsi="Times New Roman" w:cs="Times New Roman"/>
                <w:color w:val="000000"/>
                <w:kern w:val="0"/>
                <w:sz w:val="24"/>
                <w:szCs w:val="24"/>
                <w:lang w:eastAsia="hr-HR"/>
                <w14:ligatures w14:val="none"/>
              </w:rPr>
              <w:t>66%</w:t>
            </w:r>
          </w:p>
        </w:tc>
      </w:tr>
      <w:tr w:rsidR="00896260" w:rsidRPr="00896260" w14:paraId="7C79F0A3" w14:textId="77777777" w:rsidTr="0090349D">
        <w:trPr>
          <w:trHeight w:val="636"/>
        </w:trPr>
        <w:tc>
          <w:tcPr>
            <w:tcW w:w="2830" w:type="dxa"/>
            <w:tcBorders>
              <w:top w:val="nil"/>
              <w:left w:val="single" w:sz="4" w:space="0" w:color="auto"/>
              <w:bottom w:val="single" w:sz="8" w:space="0" w:color="auto"/>
              <w:right w:val="nil"/>
            </w:tcBorders>
            <w:vAlign w:val="center"/>
            <w:hideMark/>
          </w:tcPr>
          <w:p w14:paraId="01346A38" w14:textId="77777777" w:rsidR="00896260" w:rsidRPr="008674CC" w:rsidRDefault="00896260" w:rsidP="00896260">
            <w:pPr>
              <w:spacing w:after="0" w:line="240" w:lineRule="auto"/>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Zbrinjavanje zelenog otpada             K.B. 20 02 01</w:t>
            </w:r>
          </w:p>
        </w:tc>
        <w:tc>
          <w:tcPr>
            <w:tcW w:w="1134" w:type="dxa"/>
            <w:tcBorders>
              <w:top w:val="nil"/>
              <w:left w:val="single" w:sz="8" w:space="0" w:color="auto"/>
              <w:bottom w:val="single" w:sz="8" w:space="0" w:color="auto"/>
              <w:right w:val="single" w:sz="8" w:space="0" w:color="auto"/>
            </w:tcBorders>
            <w:noWrap/>
            <w:vAlign w:val="center"/>
            <w:hideMark/>
          </w:tcPr>
          <w:p w14:paraId="52DB9F5D"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104,00 €</w:t>
            </w:r>
          </w:p>
        </w:tc>
        <w:tc>
          <w:tcPr>
            <w:tcW w:w="1134" w:type="dxa"/>
            <w:tcBorders>
              <w:top w:val="nil"/>
              <w:left w:val="nil"/>
              <w:bottom w:val="single" w:sz="8" w:space="0" w:color="auto"/>
              <w:right w:val="single" w:sz="8" w:space="0" w:color="auto"/>
            </w:tcBorders>
            <w:noWrap/>
            <w:vAlign w:val="center"/>
            <w:hideMark/>
          </w:tcPr>
          <w:p w14:paraId="4E7D9564"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104,00 €</w:t>
            </w:r>
          </w:p>
        </w:tc>
        <w:tc>
          <w:tcPr>
            <w:tcW w:w="1134" w:type="dxa"/>
            <w:tcBorders>
              <w:top w:val="nil"/>
              <w:left w:val="nil"/>
              <w:bottom w:val="single" w:sz="8" w:space="0" w:color="auto"/>
              <w:right w:val="single" w:sz="8" w:space="0" w:color="auto"/>
            </w:tcBorders>
            <w:noWrap/>
            <w:vAlign w:val="center"/>
            <w:hideMark/>
          </w:tcPr>
          <w:p w14:paraId="42D90421"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80,00 €</w:t>
            </w:r>
          </w:p>
        </w:tc>
        <w:tc>
          <w:tcPr>
            <w:tcW w:w="1276" w:type="dxa"/>
            <w:tcBorders>
              <w:top w:val="nil"/>
              <w:left w:val="nil"/>
              <w:bottom w:val="single" w:sz="8" w:space="0" w:color="auto"/>
              <w:right w:val="nil"/>
            </w:tcBorders>
            <w:noWrap/>
            <w:vAlign w:val="center"/>
            <w:hideMark/>
          </w:tcPr>
          <w:p w14:paraId="1A8047EC" w14:textId="77777777" w:rsidR="00896260" w:rsidRPr="008674CC"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674CC">
              <w:rPr>
                <w:rFonts w:ascii="Times New Roman" w:eastAsia="Times New Roman" w:hAnsi="Times New Roman" w:cs="Times New Roman"/>
                <w:color w:val="000000"/>
                <w:kern w:val="0"/>
                <w:sz w:val="24"/>
                <w:szCs w:val="24"/>
                <w:lang w:eastAsia="hr-HR"/>
                <w14:ligatures w14:val="none"/>
              </w:rPr>
              <w:t>120,00 €</w:t>
            </w:r>
          </w:p>
        </w:tc>
        <w:tc>
          <w:tcPr>
            <w:tcW w:w="1134" w:type="dxa"/>
            <w:tcBorders>
              <w:top w:val="nil"/>
              <w:left w:val="single" w:sz="8" w:space="0" w:color="auto"/>
              <w:bottom w:val="single" w:sz="8" w:space="0" w:color="auto"/>
              <w:right w:val="nil"/>
            </w:tcBorders>
            <w:noWrap/>
            <w:vAlign w:val="center"/>
            <w:hideMark/>
          </w:tcPr>
          <w:p w14:paraId="4653EBB8" w14:textId="77777777" w:rsidR="00896260" w:rsidRPr="00896260"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96260">
              <w:rPr>
                <w:rFonts w:ascii="Times New Roman" w:eastAsia="Times New Roman" w:hAnsi="Times New Roman" w:cs="Times New Roman"/>
                <w:color w:val="000000"/>
                <w:kern w:val="0"/>
                <w:sz w:val="24"/>
                <w:szCs w:val="24"/>
                <w:lang w:eastAsia="hr-HR"/>
                <w14:ligatures w14:val="none"/>
              </w:rPr>
              <w:t>135,00 €</w:t>
            </w:r>
          </w:p>
        </w:tc>
        <w:tc>
          <w:tcPr>
            <w:tcW w:w="992" w:type="dxa"/>
            <w:tcBorders>
              <w:top w:val="nil"/>
              <w:left w:val="single" w:sz="8" w:space="0" w:color="auto"/>
              <w:bottom w:val="single" w:sz="8" w:space="0" w:color="auto"/>
              <w:right w:val="single" w:sz="8" w:space="0" w:color="auto"/>
            </w:tcBorders>
            <w:noWrap/>
            <w:vAlign w:val="center"/>
            <w:hideMark/>
          </w:tcPr>
          <w:p w14:paraId="1C86DA85" w14:textId="77777777" w:rsidR="00896260" w:rsidRPr="00896260" w:rsidRDefault="00896260" w:rsidP="00896260">
            <w:pPr>
              <w:spacing w:after="0" w:line="240" w:lineRule="auto"/>
              <w:jc w:val="center"/>
              <w:rPr>
                <w:rFonts w:ascii="Times New Roman" w:eastAsia="Times New Roman" w:hAnsi="Times New Roman" w:cs="Times New Roman"/>
                <w:color w:val="000000"/>
                <w:kern w:val="0"/>
                <w:sz w:val="24"/>
                <w:szCs w:val="24"/>
                <w:lang w:eastAsia="hr-HR"/>
                <w14:ligatures w14:val="none"/>
              </w:rPr>
            </w:pPr>
            <w:r w:rsidRPr="00896260">
              <w:rPr>
                <w:rFonts w:ascii="Times New Roman" w:eastAsia="Times New Roman" w:hAnsi="Times New Roman" w:cs="Times New Roman"/>
                <w:color w:val="000000"/>
                <w:kern w:val="0"/>
                <w:sz w:val="24"/>
                <w:szCs w:val="24"/>
                <w:lang w:eastAsia="hr-HR"/>
                <w14:ligatures w14:val="none"/>
              </w:rPr>
              <w:t>30%</w:t>
            </w:r>
          </w:p>
        </w:tc>
      </w:tr>
    </w:tbl>
    <w:p w14:paraId="54A435B4" w14:textId="77777777" w:rsidR="004F28C8" w:rsidRDefault="004F28C8" w:rsidP="00B12E12">
      <w:pPr>
        <w:pStyle w:val="NormalWeb"/>
      </w:pPr>
    </w:p>
    <w:p w14:paraId="0108464A" w14:textId="77777777" w:rsidR="00D458A4" w:rsidRPr="00D458A4" w:rsidRDefault="00D458A4" w:rsidP="00D458A4">
      <w:pPr>
        <w:spacing w:before="100" w:beforeAutospacing="1" w:after="100" w:afterAutospacing="1" w:line="240" w:lineRule="auto"/>
        <w:jc w:val="both"/>
        <w:rPr>
          <w:rFonts w:ascii="Times New Roman" w:eastAsia="Times New Roman" w:hAnsi="Times New Roman" w:cs="Times New Roman"/>
          <w:kern w:val="0"/>
          <w:sz w:val="24"/>
          <w:szCs w:val="24"/>
          <w:lang w:eastAsia="hr-HR"/>
          <w14:ligatures w14:val="none"/>
        </w:rPr>
      </w:pPr>
      <w:r w:rsidRPr="00D458A4">
        <w:rPr>
          <w:rFonts w:ascii="Times New Roman" w:eastAsia="Times New Roman" w:hAnsi="Times New Roman" w:cs="Times New Roman"/>
          <w:kern w:val="0"/>
          <w:sz w:val="24"/>
          <w:szCs w:val="24"/>
          <w:lang w:eastAsia="hr-HR"/>
          <w14:ligatures w14:val="none"/>
        </w:rPr>
        <w:t xml:space="preserve">U promatranom razdoblju evidentiran je kontinuirani rast količina odvojeno sakupljenog otpada po svim vrstama, kao i porast količina otpada preuzetog putem reciklažnih dvorišta. Takvo povećanje izravno utječe na rast troškova te posljedično i na održivost sustava pružanja javne usluge, slijedom čega je izmjena i usklađenje cjenika nužno radi osiguranja financijske </w:t>
      </w:r>
      <w:r w:rsidRPr="00D458A4">
        <w:rPr>
          <w:rFonts w:ascii="Times New Roman" w:eastAsia="Times New Roman" w:hAnsi="Times New Roman" w:cs="Times New Roman"/>
          <w:kern w:val="0"/>
          <w:sz w:val="24"/>
          <w:szCs w:val="24"/>
          <w:lang w:eastAsia="hr-HR"/>
          <w14:ligatures w14:val="none"/>
        </w:rPr>
        <w:lastRenderedPageBreak/>
        <w:t>stabilnosti sustava, pokrića stvarnih troškova poslovanja te neprekidnog i kvalitetnog pružanja usluge.</w:t>
      </w:r>
    </w:p>
    <w:p w14:paraId="357D3E34" w14:textId="77777777" w:rsidR="00D458A4" w:rsidRPr="00D458A4" w:rsidRDefault="00D458A4" w:rsidP="00D458A4">
      <w:pPr>
        <w:spacing w:before="100" w:beforeAutospacing="1" w:after="100" w:afterAutospacing="1" w:line="240" w:lineRule="auto"/>
        <w:jc w:val="both"/>
        <w:rPr>
          <w:rFonts w:ascii="Times New Roman" w:eastAsia="Times New Roman" w:hAnsi="Times New Roman" w:cs="Times New Roman"/>
          <w:kern w:val="0"/>
          <w:sz w:val="24"/>
          <w:szCs w:val="24"/>
          <w:lang w:eastAsia="hr-HR"/>
          <w14:ligatures w14:val="none"/>
        </w:rPr>
      </w:pPr>
      <w:r w:rsidRPr="00D458A4">
        <w:rPr>
          <w:rFonts w:ascii="Times New Roman" w:eastAsia="Times New Roman" w:hAnsi="Times New Roman" w:cs="Times New Roman"/>
          <w:kern w:val="0"/>
          <w:sz w:val="24"/>
          <w:szCs w:val="24"/>
          <w:lang w:eastAsia="hr-HR"/>
          <w14:ligatures w14:val="none"/>
        </w:rPr>
        <w:t>Dodatni značajan čimbenik rasta troškova poslovanja trgovačkog društva 6. MAJ d.o.o. odnosi se na povećanje plaća i drugih materijalnih prava radnika. U promatranom razdoblju provedena su višekratna povećanja, a provedba navedenih povećanja plaća i pripadajućih materijalnih prava generira dodatni godišnji trošak u odnosu na razinu troškova iz 2022. godine.</w:t>
      </w:r>
    </w:p>
    <w:p w14:paraId="20C82902" w14:textId="22A9747E" w:rsidR="00D458A4" w:rsidRPr="00D458A4" w:rsidRDefault="00D458A4" w:rsidP="00D458A4">
      <w:pPr>
        <w:spacing w:before="100" w:beforeAutospacing="1" w:after="100" w:afterAutospacing="1" w:line="240" w:lineRule="auto"/>
        <w:jc w:val="both"/>
        <w:rPr>
          <w:rFonts w:ascii="Times New Roman" w:eastAsia="Times New Roman" w:hAnsi="Times New Roman" w:cs="Times New Roman"/>
          <w:kern w:val="0"/>
          <w:sz w:val="24"/>
          <w:szCs w:val="24"/>
          <w:lang w:eastAsia="hr-HR"/>
          <w14:ligatures w14:val="none"/>
        </w:rPr>
      </w:pPr>
      <w:r w:rsidRPr="00D458A4">
        <w:rPr>
          <w:rFonts w:ascii="Times New Roman" w:eastAsia="Times New Roman" w:hAnsi="Times New Roman" w:cs="Times New Roman"/>
          <w:kern w:val="0"/>
          <w:sz w:val="24"/>
          <w:szCs w:val="24"/>
          <w:lang w:eastAsia="hr-HR"/>
          <w14:ligatures w14:val="none"/>
        </w:rPr>
        <w:t>Poslovanje društva bilo je pod značajnim utjecajem šireg rasta cijena u gospodarstvu, pri čemu je u razdoblju od 202</w:t>
      </w:r>
      <w:r>
        <w:rPr>
          <w:rFonts w:ascii="Times New Roman" w:eastAsia="Times New Roman" w:hAnsi="Times New Roman" w:cs="Times New Roman"/>
          <w:kern w:val="0"/>
          <w:sz w:val="24"/>
          <w:szCs w:val="24"/>
          <w:lang w:eastAsia="hr-HR"/>
          <w14:ligatures w14:val="none"/>
        </w:rPr>
        <w:t>1</w:t>
      </w:r>
      <w:r w:rsidRPr="00D458A4">
        <w:rPr>
          <w:rFonts w:ascii="Times New Roman" w:eastAsia="Times New Roman" w:hAnsi="Times New Roman" w:cs="Times New Roman"/>
          <w:kern w:val="0"/>
          <w:sz w:val="24"/>
          <w:szCs w:val="24"/>
          <w:lang w:eastAsia="hr-HR"/>
          <w14:ligatures w14:val="none"/>
        </w:rPr>
        <w:t>. do 2025. godine zabilježen snažan inflatorni pritisak prema podacima Državnog zavoda za statistiku. Istodobno su porasli i troškovi energenata te raznih servisnih usluga, što se odrazilo na povećanje ukupnih operativnih rashoda.</w:t>
      </w:r>
    </w:p>
    <w:p w14:paraId="39DA080B" w14:textId="77777777" w:rsidR="00D458A4" w:rsidRPr="00D458A4" w:rsidRDefault="00D458A4" w:rsidP="00D458A4">
      <w:pPr>
        <w:spacing w:before="100" w:beforeAutospacing="1" w:after="100" w:afterAutospacing="1" w:line="240" w:lineRule="auto"/>
        <w:rPr>
          <w:rFonts w:ascii="Times New Roman" w:eastAsia="Times New Roman" w:hAnsi="Times New Roman" w:cs="Times New Roman"/>
          <w:kern w:val="0"/>
          <w:sz w:val="24"/>
          <w:szCs w:val="24"/>
          <w:lang w:eastAsia="hr-HR"/>
          <w14:ligatures w14:val="none"/>
        </w:rPr>
      </w:pPr>
      <w:r w:rsidRPr="00D458A4">
        <w:rPr>
          <w:rFonts w:ascii="Times New Roman" w:eastAsia="Times New Roman" w:hAnsi="Times New Roman" w:cs="Times New Roman"/>
          <w:kern w:val="0"/>
          <w:sz w:val="24"/>
          <w:szCs w:val="24"/>
          <w:lang w:eastAsia="hr-HR"/>
          <w14:ligatures w14:val="none"/>
        </w:rPr>
        <w:t>Slijedom svega navedenog, predlaže se izmjena cijene minimalne javne usluge kako slijedi:</w:t>
      </w:r>
    </w:p>
    <w:p w14:paraId="7C73716C" w14:textId="03651D2E" w:rsidR="00D458A4" w:rsidRPr="00D458A4" w:rsidRDefault="00D458A4" w:rsidP="00D458A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hr-HR"/>
          <w14:ligatures w14:val="none"/>
        </w:rPr>
      </w:pPr>
      <w:r w:rsidRPr="00D458A4">
        <w:rPr>
          <w:rFonts w:ascii="Times New Roman" w:eastAsia="Times New Roman" w:hAnsi="Times New Roman" w:cs="Times New Roman"/>
          <w:kern w:val="0"/>
          <w:sz w:val="24"/>
          <w:szCs w:val="24"/>
          <w:lang w:eastAsia="hr-HR"/>
          <w14:ligatures w14:val="none"/>
        </w:rPr>
        <w:t>9,</w:t>
      </w:r>
      <w:r w:rsidR="0092685B">
        <w:rPr>
          <w:rFonts w:ascii="Times New Roman" w:eastAsia="Times New Roman" w:hAnsi="Times New Roman" w:cs="Times New Roman"/>
          <w:kern w:val="0"/>
          <w:sz w:val="24"/>
          <w:szCs w:val="24"/>
          <w:lang w:eastAsia="hr-HR"/>
          <w14:ligatures w14:val="none"/>
        </w:rPr>
        <w:t>45</w:t>
      </w:r>
      <w:r w:rsidRPr="00D458A4">
        <w:rPr>
          <w:rFonts w:ascii="Times New Roman" w:eastAsia="Times New Roman" w:hAnsi="Times New Roman" w:cs="Times New Roman"/>
          <w:kern w:val="0"/>
          <w:sz w:val="24"/>
          <w:szCs w:val="24"/>
          <w:lang w:eastAsia="hr-HR"/>
          <w14:ligatures w14:val="none"/>
        </w:rPr>
        <w:t xml:space="preserve"> eura bez PDV-a mjesečno za korisnike iz kategorije „kućanstvo“ </w:t>
      </w:r>
    </w:p>
    <w:p w14:paraId="73D33DDC" w14:textId="77777777" w:rsidR="00D458A4" w:rsidRPr="00D458A4" w:rsidRDefault="00D458A4" w:rsidP="00D458A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hr-HR"/>
          <w14:ligatures w14:val="none"/>
        </w:rPr>
      </w:pPr>
      <w:r w:rsidRPr="00D458A4">
        <w:rPr>
          <w:rFonts w:ascii="Times New Roman" w:eastAsia="Times New Roman" w:hAnsi="Times New Roman" w:cs="Times New Roman"/>
          <w:kern w:val="0"/>
          <w:sz w:val="24"/>
          <w:szCs w:val="24"/>
          <w:lang w:eastAsia="hr-HR"/>
          <w14:ligatures w14:val="none"/>
        </w:rPr>
        <w:t xml:space="preserve">87,23 eura bez PDV-a mjesečno za korisnike iz kategorije „korisnik koji nije kućanstvo“ </w:t>
      </w:r>
    </w:p>
    <w:p w14:paraId="09F9040E" w14:textId="77777777" w:rsidR="00D458A4" w:rsidRPr="00D458A4" w:rsidRDefault="00D458A4" w:rsidP="00D458A4">
      <w:pPr>
        <w:spacing w:before="100" w:beforeAutospacing="1" w:after="100" w:afterAutospacing="1" w:line="240" w:lineRule="auto"/>
        <w:rPr>
          <w:rFonts w:ascii="Times New Roman" w:eastAsia="Times New Roman" w:hAnsi="Times New Roman" w:cs="Times New Roman"/>
          <w:kern w:val="0"/>
          <w:sz w:val="24"/>
          <w:szCs w:val="24"/>
          <w:lang w:eastAsia="hr-HR"/>
          <w14:ligatures w14:val="none"/>
        </w:rPr>
      </w:pPr>
      <w:r w:rsidRPr="00D458A4">
        <w:rPr>
          <w:rFonts w:ascii="Times New Roman" w:eastAsia="Times New Roman" w:hAnsi="Times New Roman" w:cs="Times New Roman"/>
          <w:kern w:val="0"/>
          <w:sz w:val="24"/>
          <w:szCs w:val="24"/>
          <w:lang w:eastAsia="hr-HR"/>
          <w14:ligatures w14:val="none"/>
        </w:rPr>
        <w:t>Kriteriji za umanjenje cijene minimalne javne usluge, s obzirom na veličinu zaduženog spremnika, određeni su za kategoriju korisnika koji nije kućanstvo, te se iznos za pojedini spremnik utvrđuje kako slijedi: za spremnik od 120 l – 12,04 eura, za spremnik od 240 l – 21,18 eura, za spremnik od 360 l – 30,38 eura, za spremnik od 660 l – 53,34 eura.</w:t>
      </w:r>
    </w:p>
    <w:p w14:paraId="311D4C8D" w14:textId="3D652924" w:rsidR="00D458A4" w:rsidRPr="00D458A4" w:rsidRDefault="00D458A4" w:rsidP="00D458A4">
      <w:pPr>
        <w:spacing w:before="100" w:beforeAutospacing="1" w:after="100" w:afterAutospacing="1" w:line="240" w:lineRule="auto"/>
        <w:jc w:val="both"/>
        <w:rPr>
          <w:rFonts w:ascii="Times New Roman" w:eastAsia="Times New Roman" w:hAnsi="Times New Roman" w:cs="Times New Roman"/>
          <w:kern w:val="0"/>
          <w:sz w:val="24"/>
          <w:szCs w:val="24"/>
          <w:lang w:eastAsia="hr-HR"/>
          <w14:ligatures w14:val="none"/>
        </w:rPr>
      </w:pPr>
      <w:r w:rsidRPr="00D458A4">
        <w:rPr>
          <w:rFonts w:ascii="Times New Roman" w:eastAsia="Times New Roman" w:hAnsi="Times New Roman" w:cs="Times New Roman"/>
          <w:kern w:val="0"/>
          <w:sz w:val="24"/>
          <w:szCs w:val="24"/>
          <w:lang w:eastAsia="hr-HR"/>
          <w14:ligatures w14:val="none"/>
        </w:rPr>
        <w:t xml:space="preserve">Predložene izmjene osiguravaju financijsku održivost poslovanja s ciljem daljnje uspostave javnog, kvalitetnog, pouzdanog i ekonomski učinkovitog sustava sakupljanja komunalnog otpada na području </w:t>
      </w:r>
      <w:r w:rsidR="0009542D" w:rsidRPr="00186FE6">
        <w:rPr>
          <w:rFonts w:ascii="Times New Roman" w:eastAsia="Times New Roman" w:hAnsi="Times New Roman" w:cs="Times New Roman"/>
          <w:kern w:val="0"/>
          <w:sz w:val="24"/>
          <w:szCs w:val="24"/>
          <w:lang w:eastAsia="hr-HR"/>
          <w14:ligatures w14:val="none"/>
        </w:rPr>
        <w:t>Općine Brtonigla - Verteneglio</w:t>
      </w:r>
      <w:r w:rsidRPr="00D458A4">
        <w:rPr>
          <w:rFonts w:ascii="Times New Roman" w:eastAsia="Times New Roman" w:hAnsi="Times New Roman" w:cs="Times New Roman"/>
          <w:kern w:val="0"/>
          <w:sz w:val="24"/>
          <w:szCs w:val="24"/>
          <w:lang w:eastAsia="hr-HR"/>
          <w14:ligatures w14:val="none"/>
        </w:rPr>
        <w:t>, u skladu s načelima održivog razvoja, zaštite okoliša, gospodarenja otpadom i zaštite javnog interesa.</w:t>
      </w:r>
    </w:p>
    <w:p w14:paraId="4599827D" w14:textId="77777777" w:rsidR="00625595" w:rsidRDefault="00625595" w:rsidP="00D458A4">
      <w:pPr>
        <w:pStyle w:val="NormalWeb"/>
        <w:jc w:val="both"/>
      </w:pPr>
    </w:p>
    <w:sectPr w:rsidR="00625595" w:rsidSect="008962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21EC1"/>
    <w:multiLevelType w:val="multilevel"/>
    <w:tmpl w:val="BD80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744E65"/>
    <w:multiLevelType w:val="hybridMultilevel"/>
    <w:tmpl w:val="B1DAABBA"/>
    <w:lvl w:ilvl="0" w:tplc="BF3606F8">
      <w:start w:val="2"/>
      <w:numFmt w:val="bullet"/>
      <w:lvlText w:val="-"/>
      <w:lvlJc w:val="left"/>
      <w:pPr>
        <w:ind w:left="720" w:hanging="360"/>
      </w:pPr>
      <w:rPr>
        <w:rFonts w:ascii="Times New Roman" w:eastAsiaTheme="maj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754A58C5"/>
    <w:multiLevelType w:val="multilevel"/>
    <w:tmpl w:val="B298F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2711919">
    <w:abstractNumId w:val="0"/>
  </w:num>
  <w:num w:numId="2" w16cid:durableId="17240383">
    <w:abstractNumId w:val="1"/>
  </w:num>
  <w:num w:numId="3" w16cid:durableId="2076007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F58"/>
    <w:rsid w:val="000363B9"/>
    <w:rsid w:val="0009542D"/>
    <w:rsid w:val="00095A54"/>
    <w:rsid w:val="000D61AF"/>
    <w:rsid w:val="00111B4E"/>
    <w:rsid w:val="001366B7"/>
    <w:rsid w:val="00186FE6"/>
    <w:rsid w:val="001A0057"/>
    <w:rsid w:val="00220E59"/>
    <w:rsid w:val="002D2EB9"/>
    <w:rsid w:val="002E16B0"/>
    <w:rsid w:val="003245F7"/>
    <w:rsid w:val="00361456"/>
    <w:rsid w:val="004376E9"/>
    <w:rsid w:val="004F28C8"/>
    <w:rsid w:val="005A4F58"/>
    <w:rsid w:val="005F0C73"/>
    <w:rsid w:val="00625595"/>
    <w:rsid w:val="00641857"/>
    <w:rsid w:val="0066379D"/>
    <w:rsid w:val="0066386C"/>
    <w:rsid w:val="00723138"/>
    <w:rsid w:val="007A3BB8"/>
    <w:rsid w:val="007B41F9"/>
    <w:rsid w:val="008674CC"/>
    <w:rsid w:val="00876994"/>
    <w:rsid w:val="00896260"/>
    <w:rsid w:val="0090349D"/>
    <w:rsid w:val="0091029E"/>
    <w:rsid w:val="0092685B"/>
    <w:rsid w:val="0096668B"/>
    <w:rsid w:val="00982DC2"/>
    <w:rsid w:val="00996D9E"/>
    <w:rsid w:val="009A7547"/>
    <w:rsid w:val="00A82BA7"/>
    <w:rsid w:val="00B12E12"/>
    <w:rsid w:val="00C3252C"/>
    <w:rsid w:val="00C461A1"/>
    <w:rsid w:val="00CC18D3"/>
    <w:rsid w:val="00D329C2"/>
    <w:rsid w:val="00D458A4"/>
    <w:rsid w:val="00E02AF0"/>
    <w:rsid w:val="00E048CA"/>
    <w:rsid w:val="00E12394"/>
    <w:rsid w:val="00E971B8"/>
    <w:rsid w:val="00F32462"/>
    <w:rsid w:val="00F57235"/>
    <w:rsid w:val="00FD763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F90AC"/>
  <w15:chartTrackingRefBased/>
  <w15:docId w15:val="{2E66B677-1004-437B-AF31-EDF135B58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F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A4F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4F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4F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4F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4F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F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F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F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F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A4F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A4F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A4F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A4F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A4F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F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F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F58"/>
    <w:rPr>
      <w:rFonts w:eastAsiaTheme="majorEastAsia" w:cstheme="majorBidi"/>
      <w:color w:val="272727" w:themeColor="text1" w:themeTint="D8"/>
    </w:rPr>
  </w:style>
  <w:style w:type="paragraph" w:styleId="Title">
    <w:name w:val="Title"/>
    <w:basedOn w:val="Normal"/>
    <w:next w:val="Normal"/>
    <w:link w:val="TitleChar"/>
    <w:uiPriority w:val="10"/>
    <w:qFormat/>
    <w:rsid w:val="005A4F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F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F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F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F58"/>
    <w:pPr>
      <w:spacing w:before="160"/>
      <w:jc w:val="center"/>
    </w:pPr>
    <w:rPr>
      <w:i/>
      <w:iCs/>
      <w:color w:val="404040" w:themeColor="text1" w:themeTint="BF"/>
    </w:rPr>
  </w:style>
  <w:style w:type="character" w:customStyle="1" w:styleId="QuoteChar">
    <w:name w:val="Quote Char"/>
    <w:basedOn w:val="DefaultParagraphFont"/>
    <w:link w:val="Quote"/>
    <w:uiPriority w:val="29"/>
    <w:rsid w:val="005A4F58"/>
    <w:rPr>
      <w:i/>
      <w:iCs/>
      <w:color w:val="404040" w:themeColor="text1" w:themeTint="BF"/>
    </w:rPr>
  </w:style>
  <w:style w:type="paragraph" w:styleId="ListParagraph">
    <w:name w:val="List Paragraph"/>
    <w:basedOn w:val="Normal"/>
    <w:uiPriority w:val="34"/>
    <w:qFormat/>
    <w:rsid w:val="005A4F58"/>
    <w:pPr>
      <w:ind w:left="720"/>
      <w:contextualSpacing/>
    </w:pPr>
  </w:style>
  <w:style w:type="character" w:styleId="IntenseEmphasis">
    <w:name w:val="Intense Emphasis"/>
    <w:basedOn w:val="DefaultParagraphFont"/>
    <w:uiPriority w:val="21"/>
    <w:qFormat/>
    <w:rsid w:val="005A4F58"/>
    <w:rPr>
      <w:i/>
      <w:iCs/>
      <w:color w:val="2F5496" w:themeColor="accent1" w:themeShade="BF"/>
    </w:rPr>
  </w:style>
  <w:style w:type="paragraph" w:styleId="IntenseQuote">
    <w:name w:val="Intense Quote"/>
    <w:basedOn w:val="Normal"/>
    <w:next w:val="Normal"/>
    <w:link w:val="IntenseQuoteChar"/>
    <w:uiPriority w:val="30"/>
    <w:qFormat/>
    <w:rsid w:val="005A4F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4F58"/>
    <w:rPr>
      <w:i/>
      <w:iCs/>
      <w:color w:val="2F5496" w:themeColor="accent1" w:themeShade="BF"/>
    </w:rPr>
  </w:style>
  <w:style w:type="character" w:styleId="IntenseReference">
    <w:name w:val="Intense Reference"/>
    <w:basedOn w:val="DefaultParagraphFont"/>
    <w:uiPriority w:val="32"/>
    <w:qFormat/>
    <w:rsid w:val="005A4F58"/>
    <w:rPr>
      <w:b/>
      <w:bCs/>
      <w:smallCaps/>
      <w:color w:val="2F5496" w:themeColor="accent1" w:themeShade="BF"/>
      <w:spacing w:val="5"/>
    </w:rPr>
  </w:style>
  <w:style w:type="paragraph" w:styleId="NormalWeb">
    <w:name w:val="Normal (Web)"/>
    <w:basedOn w:val="Normal"/>
    <w:uiPriority w:val="99"/>
    <w:unhideWhenUsed/>
    <w:rsid w:val="009A7547"/>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whitespace-normal">
    <w:name w:val="whitespace-normal"/>
    <w:basedOn w:val="DefaultParagraphFont"/>
    <w:rsid w:val="009A7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952</Words>
  <Characters>5427</Characters>
  <Application>Microsoft Office Word</Application>
  <DocSecurity>0</DocSecurity>
  <Lines>45</Lines>
  <Paragraphs>12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Vok</dc:creator>
  <cp:keywords/>
  <dc:description/>
  <cp:lastModifiedBy>Marica Garić</cp:lastModifiedBy>
  <cp:revision>2</cp:revision>
  <cp:lastPrinted>2026-03-26T07:30:00Z</cp:lastPrinted>
  <dcterms:created xsi:type="dcterms:W3CDTF">2026-03-30T08:51:00Z</dcterms:created>
  <dcterms:modified xsi:type="dcterms:W3CDTF">2026-03-30T08:51:00Z</dcterms:modified>
</cp:coreProperties>
</file>